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0390843E"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B73D4E">
        <w:rPr>
          <w:rFonts w:ascii="Calibri" w:eastAsia="Calibri" w:hAnsi="Calibri"/>
          <w:b/>
          <w:bCs/>
          <w:kern w:val="2"/>
          <w:sz w:val="22"/>
          <w:szCs w:val="22"/>
          <w14:ligatures w14:val="standardContextual"/>
        </w:rPr>
        <w:t>ISO 2063</w:t>
      </w:r>
      <w:r w:rsidR="00036864">
        <w:rPr>
          <w:rFonts w:ascii="Calibri" w:eastAsia="Calibri" w:hAnsi="Calibri"/>
          <w:b/>
          <w:bCs/>
          <w:kern w:val="2"/>
          <w:sz w:val="22"/>
          <w:szCs w:val="22"/>
          <w14:ligatures w14:val="standardContextual"/>
        </w:rPr>
        <w:t>9</w:t>
      </w:r>
      <w:r w:rsidR="00B73D4E" w:rsidRPr="00B73D4E">
        <w:rPr>
          <w:rFonts w:ascii="Calibri" w:eastAsia="Calibri" w:hAnsi="Calibri"/>
          <w:b/>
          <w:bCs/>
          <w:kern w:val="2"/>
          <w:sz w:val="22"/>
          <w:szCs w:val="22"/>
          <w14:ligatures w14:val="standardContextual"/>
        </w:rPr>
        <w:t>: 201</w:t>
      </w:r>
      <w:r w:rsidR="00036864">
        <w:rPr>
          <w:rFonts w:ascii="Calibri" w:eastAsia="Calibri" w:hAnsi="Calibri"/>
          <w:b/>
          <w:bCs/>
          <w:kern w:val="2"/>
          <w:sz w:val="22"/>
          <w:szCs w:val="22"/>
          <w14:ligatures w14:val="standardContextual"/>
        </w:rPr>
        <w:t>5</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4A63F0D4" w:rsidR="001B05A5" w:rsidRPr="008858C0" w:rsidRDefault="007D7BDE" w:rsidP="00CD5E61">
      <w:pPr>
        <w:pStyle w:val="Heading2"/>
        <w:shd w:val="clear" w:color="auto" w:fill="FFFFFF"/>
        <w:jc w:val="left"/>
        <w:rPr>
          <w:rFonts w:asciiTheme="minorHAnsi" w:hAnsiTheme="minorHAnsi" w:cstheme="minorHAnsi"/>
          <w:color w:val="212529"/>
          <w:spacing w:val="-16"/>
          <w:sz w:val="22"/>
          <w:szCs w:val="22"/>
        </w:rPr>
      </w:pPr>
      <w:r w:rsidRPr="00F15AF2">
        <w:rPr>
          <w:rFonts w:ascii="Arial Narrow" w:hAnsi="Arial Narrow"/>
          <w:sz w:val="22"/>
          <w:szCs w:val="22"/>
        </w:rPr>
        <w:t xml:space="preserve">Title </w:t>
      </w:r>
      <w:r w:rsidRPr="00FA504E">
        <w:rPr>
          <w:rFonts w:asciiTheme="minorHAnsi" w:hAnsiTheme="minorHAnsi" w:cstheme="minorHAnsi"/>
          <w:sz w:val="22"/>
          <w:szCs w:val="22"/>
        </w:rPr>
        <w:t>......................</w:t>
      </w:r>
      <w:r w:rsidR="001B05A5" w:rsidRPr="00FA504E">
        <w:rPr>
          <w:rFonts w:asciiTheme="minorHAnsi" w:hAnsiTheme="minorHAnsi" w:cstheme="minorHAnsi"/>
          <w:b w:val="0"/>
          <w:bCs w:val="0"/>
          <w:color w:val="212529"/>
          <w:spacing w:val="-16"/>
          <w:sz w:val="22"/>
          <w:szCs w:val="22"/>
        </w:rPr>
        <w:t xml:space="preserve"> </w:t>
      </w:r>
      <w:r w:rsidR="008858C0" w:rsidRPr="00FA504E">
        <w:rPr>
          <w:rFonts w:asciiTheme="minorHAnsi" w:hAnsiTheme="minorHAnsi" w:cstheme="minorHAnsi"/>
          <w:color w:val="212529"/>
          <w:spacing w:val="-16"/>
          <w:sz w:val="22"/>
          <w:szCs w:val="22"/>
        </w:rPr>
        <w:t xml:space="preserve">Infant formula and adult nutritionals — Determination of pantothenic acid by </w:t>
      </w:r>
      <w:r w:rsidR="00F01E51" w:rsidRPr="00FA504E">
        <w:rPr>
          <w:rFonts w:asciiTheme="minorHAnsi" w:hAnsiTheme="minorHAnsi" w:cstheme="minorHAnsi"/>
          <w:color w:val="212529"/>
          <w:spacing w:val="-16"/>
          <w:sz w:val="22"/>
          <w:szCs w:val="22"/>
        </w:rPr>
        <w:t>ultra</w:t>
      </w:r>
      <w:r w:rsidR="00F01E51">
        <w:rPr>
          <w:rFonts w:asciiTheme="minorHAnsi" w:hAnsiTheme="minorHAnsi" w:cstheme="minorHAnsi"/>
          <w:color w:val="212529"/>
          <w:spacing w:val="-16"/>
          <w:sz w:val="22"/>
          <w:szCs w:val="22"/>
        </w:rPr>
        <w:t>-</w:t>
      </w:r>
      <w:r w:rsidR="00F01E51" w:rsidRPr="00FA504E">
        <w:rPr>
          <w:rFonts w:asciiTheme="minorHAnsi" w:hAnsiTheme="minorHAnsi" w:cstheme="minorHAnsi"/>
          <w:color w:val="212529"/>
          <w:spacing w:val="-16"/>
          <w:sz w:val="22"/>
          <w:szCs w:val="22"/>
        </w:rPr>
        <w:t>high</w:t>
      </w:r>
      <w:r w:rsidR="00EB5B19">
        <w:rPr>
          <w:rFonts w:asciiTheme="minorHAnsi" w:hAnsiTheme="minorHAnsi" w:cstheme="minorHAnsi"/>
          <w:color w:val="212529"/>
          <w:spacing w:val="-16"/>
          <w:sz w:val="22"/>
          <w:szCs w:val="22"/>
        </w:rPr>
        <w:t xml:space="preserve"> </w:t>
      </w:r>
      <w:r w:rsidR="008858C0" w:rsidRPr="00FA504E">
        <w:rPr>
          <w:rFonts w:asciiTheme="minorHAnsi" w:hAnsiTheme="minorHAnsi" w:cstheme="minorHAnsi"/>
          <w:color w:val="212529"/>
          <w:spacing w:val="-16"/>
          <w:sz w:val="22"/>
          <w:szCs w:val="22"/>
        </w:rPr>
        <w:t>performance liquid chromatography and tandem mass spectrometry method (UHPLC-MS/MS)</w:t>
      </w:r>
    </w:p>
    <w:p w14:paraId="00CF532D" w14:textId="79C4C2D2" w:rsidR="007D7BDE" w:rsidRPr="008858C0" w:rsidRDefault="007D7BDE" w:rsidP="007D7BDE">
      <w:pPr>
        <w:autoSpaceDE w:val="0"/>
        <w:autoSpaceDN w:val="0"/>
        <w:adjustRightInd w:val="0"/>
        <w:jc w:val="both"/>
        <w:rPr>
          <w:rFonts w:ascii="Arial Narrow" w:hAnsi="Arial Narrow" w:cs="Arial"/>
          <w:b/>
          <w:bCs/>
          <w:sz w:val="22"/>
          <w:szCs w:val="22"/>
        </w:rPr>
      </w:pPr>
      <w:r w:rsidRPr="008858C0">
        <w:rPr>
          <w:rFonts w:ascii="Arial Narrow" w:hAnsi="Arial Narrow" w:cs="Arial"/>
          <w:b/>
          <w:bCs/>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395E590C" w14:textId="553266CE" w:rsidR="00021CC2" w:rsidRPr="00153345" w:rsidRDefault="007D7BDE" w:rsidP="00021CC2">
      <w:pPr>
        <w:pStyle w:val="NormalWeb"/>
        <w:rPr>
          <w:rFonts w:asciiTheme="minorHAnsi" w:hAnsiTheme="minorHAnsi" w:cstheme="minorHAnsi"/>
          <w:b/>
          <w:bCs/>
          <w:color w:val="000000"/>
          <w:sz w:val="22"/>
          <w:szCs w:val="22"/>
          <w:shd w:val="clear" w:color="auto" w:fill="FFFFFF"/>
        </w:rPr>
      </w:pPr>
      <w:r w:rsidRPr="00F15AF2">
        <w:rPr>
          <w:rFonts w:ascii="Arial Narrow" w:hAnsi="Arial Narrow" w:cs="Arial"/>
          <w:b/>
          <w:sz w:val="22"/>
          <w:szCs w:val="22"/>
        </w:rPr>
        <w:t>Scope: ....</w:t>
      </w:r>
      <w:r w:rsidR="00B73D4E" w:rsidRPr="00B73D4E">
        <w:rPr>
          <w:rFonts w:ascii="Helvetica" w:hAnsi="Helvetica" w:cs="Helvetica"/>
          <w:color w:val="000000"/>
          <w:shd w:val="clear" w:color="auto" w:fill="FFFFFF"/>
        </w:rPr>
        <w:t xml:space="preserve"> </w:t>
      </w:r>
      <w:r w:rsidR="00153345" w:rsidRPr="00153345">
        <w:rPr>
          <w:rFonts w:asciiTheme="minorHAnsi" w:hAnsiTheme="minorHAnsi" w:cstheme="minorHAnsi"/>
          <w:b/>
          <w:bCs/>
          <w:color w:val="000000"/>
          <w:sz w:val="22"/>
          <w:szCs w:val="22"/>
          <w:shd w:val="clear" w:color="auto" w:fill="FFFFFF"/>
        </w:rPr>
        <w:t xml:space="preserve">This International Standard specifies a method for the quantitative determination of pantothenic acid, excluding bound forms, in infant formula and adult nutritionals (i.e. powders) using ultra </w:t>
      </w:r>
      <w:r w:rsidR="00153345" w:rsidRPr="00153345">
        <w:rPr>
          <w:rFonts w:asciiTheme="minorHAnsi" w:hAnsiTheme="minorHAnsi" w:cstheme="minorHAnsi"/>
          <w:b/>
          <w:bCs/>
          <w:color w:val="000000"/>
          <w:sz w:val="22"/>
          <w:szCs w:val="22"/>
          <w:shd w:val="clear" w:color="auto" w:fill="FFFFFF"/>
        </w:rPr>
        <w:t>high-performance</w:t>
      </w:r>
      <w:r w:rsidR="00153345" w:rsidRPr="00153345">
        <w:rPr>
          <w:rFonts w:asciiTheme="minorHAnsi" w:hAnsiTheme="minorHAnsi" w:cstheme="minorHAnsi"/>
          <w:b/>
          <w:bCs/>
          <w:color w:val="000000"/>
          <w:sz w:val="22"/>
          <w:szCs w:val="22"/>
          <w:shd w:val="clear" w:color="auto" w:fill="FFFFFF"/>
        </w:rPr>
        <w:t xml:space="preserve"> liquid chromatography and tandem mass spectrometry method (UHPLC-MS/MS).</w:t>
      </w:r>
    </w:p>
    <w:p w14:paraId="258BC168" w14:textId="738AE132" w:rsidR="007A3CAD" w:rsidRPr="00F15AF2" w:rsidRDefault="007A3CAD" w:rsidP="007A3CAD">
      <w:pPr>
        <w:pStyle w:val="NormalWeb"/>
        <w:shd w:val="clear" w:color="auto" w:fill="FFFFFF"/>
        <w:rPr>
          <w:rFonts w:ascii="Arial Narrow" w:hAnsi="Arial Narrow" w:cs="Arial"/>
          <w:bCs/>
          <w:sz w:val="22"/>
          <w:szCs w:val="22"/>
        </w:rPr>
      </w:pP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EB94" w14:textId="77777777" w:rsidR="00A54006" w:rsidRDefault="00A54006" w:rsidP="007D7BDE">
      <w:r>
        <w:separator/>
      </w:r>
    </w:p>
  </w:endnote>
  <w:endnote w:type="continuationSeparator" w:id="0">
    <w:p w14:paraId="1191CB12" w14:textId="77777777" w:rsidR="00A54006" w:rsidRDefault="00A54006"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5AF9" w14:textId="77777777" w:rsidR="00A54006" w:rsidRDefault="00A54006" w:rsidP="007D7BDE">
      <w:r>
        <w:separator/>
      </w:r>
    </w:p>
  </w:footnote>
  <w:footnote w:type="continuationSeparator" w:id="0">
    <w:p w14:paraId="08EEE115" w14:textId="77777777" w:rsidR="00A54006" w:rsidRDefault="00A54006"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1CC2"/>
    <w:rsid w:val="000250FB"/>
    <w:rsid w:val="0003199D"/>
    <w:rsid w:val="00036864"/>
    <w:rsid w:val="00041973"/>
    <w:rsid w:val="00047921"/>
    <w:rsid w:val="00074575"/>
    <w:rsid w:val="00093B3D"/>
    <w:rsid w:val="000A35DF"/>
    <w:rsid w:val="000A5E80"/>
    <w:rsid w:val="000C4E32"/>
    <w:rsid w:val="00103C02"/>
    <w:rsid w:val="00126EB2"/>
    <w:rsid w:val="00146B64"/>
    <w:rsid w:val="00153345"/>
    <w:rsid w:val="00153730"/>
    <w:rsid w:val="00154D57"/>
    <w:rsid w:val="00161F8F"/>
    <w:rsid w:val="001A16FD"/>
    <w:rsid w:val="001B05A5"/>
    <w:rsid w:val="001D112C"/>
    <w:rsid w:val="001F37A8"/>
    <w:rsid w:val="002236B8"/>
    <w:rsid w:val="00230229"/>
    <w:rsid w:val="0023262C"/>
    <w:rsid w:val="00241E4B"/>
    <w:rsid w:val="00242755"/>
    <w:rsid w:val="00277799"/>
    <w:rsid w:val="00282D9D"/>
    <w:rsid w:val="002A5CAF"/>
    <w:rsid w:val="002D6970"/>
    <w:rsid w:val="002E03CE"/>
    <w:rsid w:val="002E12DF"/>
    <w:rsid w:val="002E3F7C"/>
    <w:rsid w:val="00350BFA"/>
    <w:rsid w:val="0037216D"/>
    <w:rsid w:val="003A2DFD"/>
    <w:rsid w:val="003C4A6C"/>
    <w:rsid w:val="003F0639"/>
    <w:rsid w:val="003F064B"/>
    <w:rsid w:val="003F2C4E"/>
    <w:rsid w:val="00402707"/>
    <w:rsid w:val="0043185A"/>
    <w:rsid w:val="0043237D"/>
    <w:rsid w:val="00452734"/>
    <w:rsid w:val="00464524"/>
    <w:rsid w:val="004710DA"/>
    <w:rsid w:val="00506AFA"/>
    <w:rsid w:val="00516C2D"/>
    <w:rsid w:val="00561743"/>
    <w:rsid w:val="005965CF"/>
    <w:rsid w:val="005B1EF4"/>
    <w:rsid w:val="005D3E09"/>
    <w:rsid w:val="005D568D"/>
    <w:rsid w:val="005E2F92"/>
    <w:rsid w:val="0063414B"/>
    <w:rsid w:val="00674532"/>
    <w:rsid w:val="00680852"/>
    <w:rsid w:val="006B1F32"/>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858C0"/>
    <w:rsid w:val="00893D7E"/>
    <w:rsid w:val="008B0060"/>
    <w:rsid w:val="008B3FDD"/>
    <w:rsid w:val="008E42F1"/>
    <w:rsid w:val="00924558"/>
    <w:rsid w:val="00944B8F"/>
    <w:rsid w:val="009E64F4"/>
    <w:rsid w:val="00A15AB7"/>
    <w:rsid w:val="00A47424"/>
    <w:rsid w:val="00A54006"/>
    <w:rsid w:val="00A80CFF"/>
    <w:rsid w:val="00A87B44"/>
    <w:rsid w:val="00AA6471"/>
    <w:rsid w:val="00AB16F3"/>
    <w:rsid w:val="00B04B5B"/>
    <w:rsid w:val="00B278A0"/>
    <w:rsid w:val="00B33A72"/>
    <w:rsid w:val="00B73D4E"/>
    <w:rsid w:val="00BA0183"/>
    <w:rsid w:val="00BA534D"/>
    <w:rsid w:val="00BF5A27"/>
    <w:rsid w:val="00BF6EDE"/>
    <w:rsid w:val="00C1693D"/>
    <w:rsid w:val="00C23675"/>
    <w:rsid w:val="00C34844"/>
    <w:rsid w:val="00C734AC"/>
    <w:rsid w:val="00CD5E61"/>
    <w:rsid w:val="00D57FB3"/>
    <w:rsid w:val="00D711C5"/>
    <w:rsid w:val="00D86274"/>
    <w:rsid w:val="00DC4FC9"/>
    <w:rsid w:val="00DC7D31"/>
    <w:rsid w:val="00E00478"/>
    <w:rsid w:val="00E1291B"/>
    <w:rsid w:val="00E41A20"/>
    <w:rsid w:val="00E67378"/>
    <w:rsid w:val="00EB5B19"/>
    <w:rsid w:val="00EB7875"/>
    <w:rsid w:val="00EC402D"/>
    <w:rsid w:val="00ED5E4C"/>
    <w:rsid w:val="00EF7104"/>
    <w:rsid w:val="00F01E51"/>
    <w:rsid w:val="00F15AF2"/>
    <w:rsid w:val="00F16DE4"/>
    <w:rsid w:val="00F701C2"/>
    <w:rsid w:val="00F87FFB"/>
    <w:rsid w:val="00FA504E"/>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1471">
      <w:bodyDiv w:val="1"/>
      <w:marLeft w:val="0"/>
      <w:marRight w:val="0"/>
      <w:marTop w:val="0"/>
      <w:marBottom w:val="0"/>
      <w:divBdr>
        <w:top w:val="none" w:sz="0" w:space="0" w:color="auto"/>
        <w:left w:val="none" w:sz="0" w:space="0" w:color="auto"/>
        <w:bottom w:val="none" w:sz="0" w:space="0" w:color="auto"/>
        <w:right w:val="none" w:sz="0" w:space="0" w:color="auto"/>
      </w:divBdr>
      <w:divsChild>
        <w:div w:id="889145406">
          <w:marLeft w:val="0"/>
          <w:marRight w:val="0"/>
          <w:marTop w:val="150"/>
          <w:marBottom w:val="150"/>
          <w:divBdr>
            <w:top w:val="none" w:sz="0" w:space="0" w:color="auto"/>
            <w:left w:val="none" w:sz="0" w:space="0" w:color="auto"/>
            <w:bottom w:val="none" w:sz="0" w:space="0" w:color="auto"/>
            <w:right w:val="none" w:sz="0" w:space="0" w:color="auto"/>
          </w:divBdr>
        </w:div>
      </w:divsChild>
    </w:div>
    <w:div w:id="253441161">
      <w:bodyDiv w:val="1"/>
      <w:marLeft w:val="0"/>
      <w:marRight w:val="0"/>
      <w:marTop w:val="0"/>
      <w:marBottom w:val="0"/>
      <w:divBdr>
        <w:top w:val="none" w:sz="0" w:space="0" w:color="auto"/>
        <w:left w:val="none" w:sz="0" w:space="0" w:color="auto"/>
        <w:bottom w:val="none" w:sz="0" w:space="0" w:color="auto"/>
        <w:right w:val="none" w:sz="0" w:space="0" w:color="auto"/>
      </w:divBdr>
    </w:div>
    <w:div w:id="1139423784">
      <w:bodyDiv w:val="1"/>
      <w:marLeft w:val="0"/>
      <w:marRight w:val="0"/>
      <w:marTop w:val="0"/>
      <w:marBottom w:val="0"/>
      <w:divBdr>
        <w:top w:val="none" w:sz="0" w:space="0" w:color="auto"/>
        <w:left w:val="none" w:sz="0" w:space="0" w:color="auto"/>
        <w:bottom w:val="none" w:sz="0" w:space="0" w:color="auto"/>
        <w:right w:val="none" w:sz="0" w:space="0" w:color="auto"/>
      </w:divBdr>
      <w:divsChild>
        <w:div w:id="4660446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10</cp:revision>
  <dcterms:created xsi:type="dcterms:W3CDTF">2025-02-05T09:36:00Z</dcterms:created>
  <dcterms:modified xsi:type="dcterms:W3CDTF">2025-02-05T09:42:00Z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