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09C98896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5D3435">
        <w:t>FF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48B13399" w:rsidR="007D7BDE" w:rsidRPr="00556197" w:rsidRDefault="007F7C9A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50216" w:rsidRPr="00050216">
              <w:rPr>
                <w:rFonts w:ascii="Arial" w:hAnsi="Arial" w:cs="Arial"/>
                <w:b/>
                <w:bCs/>
              </w:rPr>
              <w:t>28</w:t>
            </w:r>
            <w:r w:rsidR="00DB4F9A">
              <w:rPr>
                <w:rFonts w:ascii="Arial" w:hAnsi="Arial" w:cs="Arial"/>
                <w:b/>
              </w:rPr>
              <w:t>/</w:t>
            </w:r>
            <w:r w:rsidR="00050216">
              <w:rPr>
                <w:rFonts w:ascii="Arial" w:hAnsi="Arial" w:cs="Arial"/>
                <w:b/>
              </w:rPr>
              <w:t>10</w:t>
            </w:r>
            <w:r w:rsidR="00DB4F9A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5A72536" w:rsidR="007D7BDE" w:rsidRPr="00556197" w:rsidRDefault="007F7C9A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50216">
              <w:rPr>
                <w:rFonts w:ascii="Arial" w:hAnsi="Arial" w:cs="Arial"/>
                <w:b/>
              </w:rPr>
              <w:t>28</w:t>
            </w:r>
            <w:r w:rsidR="00DB4F9A">
              <w:rPr>
                <w:rFonts w:ascii="Arial" w:hAnsi="Arial" w:cs="Arial"/>
                <w:b/>
              </w:rPr>
              <w:t>/</w:t>
            </w:r>
            <w:r w:rsidR="00050216">
              <w:rPr>
                <w:rFonts w:ascii="Arial" w:hAnsi="Arial" w:cs="Arial"/>
                <w:b/>
              </w:rPr>
              <w:t>11</w:t>
            </w:r>
            <w:r w:rsidR="00DB4F9A">
              <w:rPr>
                <w:rFonts w:ascii="Arial" w:hAnsi="Arial" w:cs="Arial"/>
                <w:b/>
              </w:rPr>
              <w:t>/2024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5D8A8792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This form shall be filled, signed and returned to Kenya Bureau of Standards for the attention of &lt;&lt;</w:t>
            </w:r>
            <w:r w:rsidR="00DB4F9A">
              <w:rPr>
                <w:rFonts w:ascii="Arial" w:hAnsi="Arial" w:cs="Arial"/>
                <w:bCs/>
              </w:rPr>
              <w:t xml:space="preserve">Agnes Mdzomba , </w:t>
            </w:r>
            <w:hyperlink r:id="rId10" w:history="1">
              <w:r w:rsidR="00DB4F9A" w:rsidRPr="00983C34">
                <w:rPr>
                  <w:rStyle w:val="Hyperlink"/>
                  <w:rFonts w:ascii="Arial" w:hAnsi="Arial" w:cs="Arial"/>
                  <w:bCs/>
                </w:rPr>
                <w:t>mdzombaa@kebs.org</w:t>
              </w:r>
            </w:hyperlink>
            <w:r w:rsidR="00DB4F9A">
              <w:rPr>
                <w:rFonts w:ascii="Arial" w:hAnsi="Arial" w:cs="Arial"/>
                <w:bCs/>
              </w:rPr>
              <w:t xml:space="preserve"> </w:t>
            </w:r>
            <w:r w:rsidRPr="00556197">
              <w:rPr>
                <w:rFonts w:ascii="Arial" w:hAnsi="Arial" w:cs="Arial"/>
                <w:b/>
                <w:bCs/>
              </w:rPr>
              <w:t>&gt;&gt;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4237A76C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</w:t>
      </w:r>
      <w:proofErr w:type="gramStart"/>
      <w:r w:rsidRPr="00556197">
        <w:rPr>
          <w:rFonts w:ascii="Arial" w:hAnsi="Arial" w:cs="Arial"/>
        </w:rPr>
        <w:t xml:space="preserve"> :…</w:t>
      </w:r>
      <w:proofErr w:type="gramEnd"/>
      <w:r w:rsidRPr="00556197">
        <w:rPr>
          <w:rFonts w:ascii="Arial" w:hAnsi="Arial" w:cs="Arial"/>
        </w:rPr>
        <w:t>…</w:t>
      </w:r>
      <w:r w:rsidR="007F7C9A">
        <w:rPr>
          <w:rFonts w:ascii="Arial" w:hAnsi="Arial" w:cs="Arial"/>
        </w:rPr>
        <w:t>( See table below)…………</w:t>
      </w:r>
      <w:r w:rsidRPr="005561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1E19ECEE" w:rsidR="007D7BDE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lastRenderedPageBreak/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63A32732" w14:textId="542DF8A8" w:rsidR="007F7C9A" w:rsidRDefault="007F7C9A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2A92A30" w14:textId="77777777" w:rsidR="007F7C9A" w:rsidRPr="00556197" w:rsidRDefault="007F7C9A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4B99056E" w14:textId="7F8735D6" w:rsidR="007D7BDE" w:rsidRPr="007F7C9A" w:rsidRDefault="007D7BDE" w:rsidP="007D7BDE">
      <w:pPr>
        <w:rPr>
          <w:rFonts w:ascii="Verdana" w:hAnsi="Verdana"/>
          <w:b/>
          <w:color w:val="000000"/>
          <w:sz w:val="16"/>
          <w:szCs w:val="16"/>
        </w:rPr>
      </w:pPr>
    </w:p>
    <w:p w14:paraId="012946A9" w14:textId="2E9D6077" w:rsidR="003D15F4" w:rsidRPr="007F7C9A" w:rsidRDefault="002C5C6D" w:rsidP="007D7BDE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BIOTECHNOLOGY</w:t>
      </w:r>
      <w:r w:rsidR="007F7C9A" w:rsidRPr="007F7C9A">
        <w:rPr>
          <w:rFonts w:ascii="Arial" w:hAnsi="Arial" w:cs="Arial"/>
          <w:b/>
          <w:color w:val="000000"/>
          <w:sz w:val="22"/>
          <w:szCs w:val="22"/>
        </w:rPr>
        <w:t xml:space="preserve"> STANDARDS UNDER SYSTEMATIC REVIEW</w:t>
      </w:r>
    </w:p>
    <w:p w14:paraId="529F6A2B" w14:textId="77777777" w:rsidR="007F7C9A" w:rsidRPr="007F7C9A" w:rsidRDefault="007F7C9A" w:rsidP="007D7BDE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1803"/>
        <w:gridCol w:w="6504"/>
      </w:tblGrid>
      <w:tr w:rsidR="007F7C9A" w14:paraId="22BAD2D7" w14:textId="77777777" w:rsidTr="007F7C9A">
        <w:tc>
          <w:tcPr>
            <w:tcW w:w="712" w:type="dxa"/>
          </w:tcPr>
          <w:p w14:paraId="3907E81B" w14:textId="6BAEA0AD" w:rsidR="007F7C9A" w:rsidRPr="002C5C6D" w:rsidRDefault="007F7C9A" w:rsidP="007D7BDE">
            <w:pPr>
              <w:rPr>
                <w:rFonts w:ascii="Arial" w:hAnsi="Arial" w:cs="Arial"/>
                <w:b/>
                <w:color w:val="000000"/>
              </w:rPr>
            </w:pPr>
            <w:r w:rsidRPr="002C5C6D">
              <w:rPr>
                <w:rFonts w:ascii="Arial" w:hAnsi="Arial" w:cs="Arial"/>
                <w:b/>
                <w:color w:val="000000"/>
              </w:rPr>
              <w:t>S/NO</w:t>
            </w:r>
          </w:p>
        </w:tc>
        <w:tc>
          <w:tcPr>
            <w:tcW w:w="1803" w:type="dxa"/>
          </w:tcPr>
          <w:p w14:paraId="7F6036DC" w14:textId="153E7F1D" w:rsidR="007F7C9A" w:rsidRPr="002C5C6D" w:rsidRDefault="007F7C9A" w:rsidP="007D7BDE">
            <w:pPr>
              <w:rPr>
                <w:rFonts w:ascii="Arial" w:hAnsi="Arial" w:cs="Arial"/>
                <w:b/>
                <w:color w:val="000000"/>
              </w:rPr>
            </w:pPr>
            <w:r w:rsidRPr="002C5C6D">
              <w:rPr>
                <w:rFonts w:ascii="Arial" w:hAnsi="Arial" w:cs="Arial"/>
                <w:b/>
                <w:color w:val="000000"/>
              </w:rPr>
              <w:t>KS.NO</w:t>
            </w:r>
          </w:p>
        </w:tc>
        <w:tc>
          <w:tcPr>
            <w:tcW w:w="6504" w:type="dxa"/>
          </w:tcPr>
          <w:p w14:paraId="26718BC8" w14:textId="77777777" w:rsidR="007F7C9A" w:rsidRPr="002C5C6D" w:rsidRDefault="007F7C9A" w:rsidP="007D7BDE">
            <w:pPr>
              <w:rPr>
                <w:rFonts w:ascii="Arial" w:hAnsi="Arial" w:cs="Arial"/>
                <w:b/>
                <w:color w:val="000000"/>
              </w:rPr>
            </w:pPr>
            <w:r w:rsidRPr="002C5C6D">
              <w:rPr>
                <w:rFonts w:ascii="Arial" w:hAnsi="Arial" w:cs="Arial"/>
                <w:b/>
                <w:color w:val="000000"/>
              </w:rPr>
              <w:t>TITTLE</w:t>
            </w:r>
          </w:p>
          <w:p w14:paraId="29259B12" w14:textId="2B9FA45F" w:rsidR="007F7C9A" w:rsidRPr="002C5C6D" w:rsidRDefault="007F7C9A" w:rsidP="007D7BD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117E8" w14:paraId="06F62670" w14:textId="77777777" w:rsidTr="006B2D93">
        <w:trPr>
          <w:trHeight w:val="547"/>
        </w:trPr>
        <w:tc>
          <w:tcPr>
            <w:tcW w:w="712" w:type="dxa"/>
          </w:tcPr>
          <w:p w14:paraId="594F49B7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51CBD788" w14:textId="1974437F" w:rsidR="00D117E8" w:rsidRPr="002C5C6D" w:rsidRDefault="00D117E8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</w:rPr>
              <w:t>KS ISO 21569:2005 Amd1:2013</w:t>
            </w:r>
          </w:p>
        </w:tc>
        <w:tc>
          <w:tcPr>
            <w:tcW w:w="6504" w:type="dxa"/>
          </w:tcPr>
          <w:p w14:paraId="14186562" w14:textId="50E4BF68" w:rsidR="00D117E8" w:rsidRPr="002C5C6D" w:rsidRDefault="002C5C6D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  <w:color w:val="000000"/>
              </w:rPr>
              <w:t xml:space="preserve">Foodstuffs-Methods of analysis for the detection of genetically modified organisms and derived products — Qualitative nucleic </w:t>
            </w:r>
            <w:proofErr w:type="gramStart"/>
            <w:r w:rsidRPr="002C5C6D">
              <w:rPr>
                <w:rFonts w:ascii="Arial" w:hAnsi="Arial" w:cs="Arial"/>
                <w:color w:val="000000"/>
              </w:rPr>
              <w:t>acid based</w:t>
            </w:r>
            <w:proofErr w:type="gramEnd"/>
            <w:r w:rsidRPr="002C5C6D">
              <w:rPr>
                <w:rFonts w:ascii="Arial" w:hAnsi="Arial" w:cs="Arial"/>
                <w:color w:val="000000"/>
              </w:rPr>
              <w:t xml:space="preserve"> methods AMENDMENT 1</w:t>
            </w:r>
          </w:p>
        </w:tc>
      </w:tr>
      <w:tr w:rsidR="00D117E8" w14:paraId="453290F3" w14:textId="77777777" w:rsidTr="006B2D93">
        <w:trPr>
          <w:trHeight w:val="547"/>
        </w:trPr>
        <w:tc>
          <w:tcPr>
            <w:tcW w:w="712" w:type="dxa"/>
          </w:tcPr>
          <w:p w14:paraId="0D07912D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76592E68" w14:textId="6D609795" w:rsidR="00D117E8" w:rsidRPr="002C5C6D" w:rsidRDefault="00D117E8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</w:rPr>
              <w:t xml:space="preserve">KS CAC/GL 68:2008 </w:t>
            </w:r>
          </w:p>
        </w:tc>
        <w:tc>
          <w:tcPr>
            <w:tcW w:w="6504" w:type="dxa"/>
          </w:tcPr>
          <w:p w14:paraId="56563B6C" w14:textId="3589E3FA" w:rsidR="00D117E8" w:rsidRPr="002C5C6D" w:rsidRDefault="002C5C6D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  <w:color w:val="000000"/>
              </w:rPr>
              <w:t xml:space="preserve"> Guideline for the conduct of food safety assessment of foods derived from recombinant — DNA animals</w:t>
            </w:r>
          </w:p>
        </w:tc>
      </w:tr>
      <w:tr w:rsidR="00D117E8" w14:paraId="61698261" w14:textId="77777777" w:rsidTr="007F7C9A">
        <w:tc>
          <w:tcPr>
            <w:tcW w:w="712" w:type="dxa"/>
          </w:tcPr>
          <w:p w14:paraId="2B1EE85D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5BC50350" w14:textId="701B28F9" w:rsidR="00D117E8" w:rsidRPr="002C5C6D" w:rsidRDefault="00D117E8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</w:rPr>
              <w:t xml:space="preserve">KS CAC/GL 45:2003 </w:t>
            </w:r>
          </w:p>
        </w:tc>
        <w:tc>
          <w:tcPr>
            <w:tcW w:w="6504" w:type="dxa"/>
          </w:tcPr>
          <w:p w14:paraId="301CF180" w14:textId="57B2980D" w:rsidR="00D117E8" w:rsidRPr="002C5C6D" w:rsidRDefault="002C5C6D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  <w:color w:val="000000"/>
              </w:rPr>
              <w:t>Guideline for the conduct of food safety assessment of foods derived from recombinant — DNA plants</w:t>
            </w:r>
          </w:p>
        </w:tc>
      </w:tr>
      <w:tr w:rsidR="00D117E8" w14:paraId="363E8E6E" w14:textId="77777777" w:rsidTr="007F7C9A">
        <w:tc>
          <w:tcPr>
            <w:tcW w:w="712" w:type="dxa"/>
          </w:tcPr>
          <w:p w14:paraId="18B8AF6D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002EB242" w14:textId="31866AFC" w:rsidR="00D117E8" w:rsidRPr="002C5C6D" w:rsidRDefault="00D117E8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</w:rPr>
              <w:t xml:space="preserve">KS CAC/GL 46:2003 </w:t>
            </w:r>
          </w:p>
        </w:tc>
        <w:tc>
          <w:tcPr>
            <w:tcW w:w="6504" w:type="dxa"/>
          </w:tcPr>
          <w:p w14:paraId="1A79304C" w14:textId="5C04D77F" w:rsidR="00D117E8" w:rsidRPr="002C5C6D" w:rsidRDefault="002C5C6D" w:rsidP="00D117E8">
            <w:pPr>
              <w:rPr>
                <w:rFonts w:ascii="Arial" w:hAnsi="Arial" w:cs="Arial"/>
                <w:color w:val="000000"/>
              </w:rPr>
            </w:pPr>
            <w:r w:rsidRPr="002C5C6D">
              <w:rPr>
                <w:rFonts w:ascii="Arial" w:hAnsi="Arial" w:cs="Arial"/>
                <w:color w:val="000000"/>
              </w:rPr>
              <w:t>Guideline for the conduct of food safety assessment of foods produced using recombinant — DNA microorganisms.</w:t>
            </w:r>
          </w:p>
        </w:tc>
      </w:tr>
      <w:tr w:rsidR="00D117E8" w14:paraId="1B993150" w14:textId="77777777" w:rsidTr="007F7C9A">
        <w:tc>
          <w:tcPr>
            <w:tcW w:w="712" w:type="dxa"/>
          </w:tcPr>
          <w:p w14:paraId="234B86F6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23855DCA" w14:textId="1F3603E6" w:rsidR="00D117E8" w:rsidRPr="002C5C6D" w:rsidRDefault="00D117E8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 xml:space="preserve">KS ISO 21569-2:2012 </w:t>
            </w:r>
          </w:p>
        </w:tc>
        <w:tc>
          <w:tcPr>
            <w:tcW w:w="6504" w:type="dxa"/>
          </w:tcPr>
          <w:p w14:paraId="4E6BE0BA" w14:textId="5C92F178" w:rsidR="00D117E8" w:rsidRPr="002C5C6D" w:rsidRDefault="002C5C6D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>Horizontal methods for molecular biomarker analysis-Methods of analysis for the detection      of genetically modified organisms and derived products — Part 2: Construct-specific real-time PCR method for detection of GMO</w:t>
            </w:r>
          </w:p>
        </w:tc>
      </w:tr>
      <w:tr w:rsidR="00D117E8" w14:paraId="2B256594" w14:textId="77777777" w:rsidTr="007F7C9A">
        <w:tc>
          <w:tcPr>
            <w:tcW w:w="712" w:type="dxa"/>
          </w:tcPr>
          <w:p w14:paraId="78BC0D2F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6152B524" w14:textId="4A75623E" w:rsidR="00D117E8" w:rsidRPr="002C5C6D" w:rsidRDefault="00D117E8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 xml:space="preserve">KS ISO 16578:2013 </w:t>
            </w:r>
          </w:p>
        </w:tc>
        <w:tc>
          <w:tcPr>
            <w:tcW w:w="6504" w:type="dxa"/>
          </w:tcPr>
          <w:p w14:paraId="3CFC03AA" w14:textId="5EC2F7FD" w:rsidR="00D117E8" w:rsidRPr="002C5C6D" w:rsidRDefault="002C5C6D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>Molecular biomarker analysis — General definitions and requirements for microarray detection of specific nucleic acid sequences</w:t>
            </w:r>
          </w:p>
        </w:tc>
      </w:tr>
      <w:tr w:rsidR="00D117E8" w14:paraId="12484BCF" w14:textId="77777777" w:rsidTr="007F7C9A">
        <w:tc>
          <w:tcPr>
            <w:tcW w:w="712" w:type="dxa"/>
          </w:tcPr>
          <w:p w14:paraId="5B7444CD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1680596C" w14:textId="1FE036FF" w:rsidR="00D117E8" w:rsidRPr="002C5C6D" w:rsidRDefault="00D117E8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 xml:space="preserve">KS ISO 13495:2013 </w:t>
            </w:r>
          </w:p>
        </w:tc>
        <w:tc>
          <w:tcPr>
            <w:tcW w:w="6504" w:type="dxa"/>
          </w:tcPr>
          <w:p w14:paraId="54F33BC1" w14:textId="0633FF9E" w:rsidR="00D117E8" w:rsidRPr="002C5C6D" w:rsidRDefault="002C5C6D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 xml:space="preserve"> Foodstuffs — Principles of selection and criteria of validation for varietal identification methods using specific nucleic acid</w:t>
            </w:r>
          </w:p>
        </w:tc>
      </w:tr>
      <w:tr w:rsidR="00D117E8" w14:paraId="67292EBF" w14:textId="77777777" w:rsidTr="007F7C9A">
        <w:tc>
          <w:tcPr>
            <w:tcW w:w="712" w:type="dxa"/>
          </w:tcPr>
          <w:p w14:paraId="4D2424D2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7EA55FFB" w14:textId="6D62DCD5" w:rsidR="00D117E8" w:rsidRPr="002C5C6D" w:rsidRDefault="00D117E8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 xml:space="preserve">KS ISO 5506:2018 </w:t>
            </w:r>
          </w:p>
        </w:tc>
        <w:tc>
          <w:tcPr>
            <w:tcW w:w="6504" w:type="dxa"/>
          </w:tcPr>
          <w:p w14:paraId="29601C44" w14:textId="3040E4A9" w:rsidR="00D117E8" w:rsidRPr="002C5C6D" w:rsidRDefault="002C5C6D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>Soya bean products — Determination of urease activity, Second Edition</w:t>
            </w:r>
          </w:p>
        </w:tc>
      </w:tr>
      <w:tr w:rsidR="00D117E8" w14:paraId="1F98F5C5" w14:textId="77777777" w:rsidTr="007F7C9A">
        <w:tc>
          <w:tcPr>
            <w:tcW w:w="712" w:type="dxa"/>
          </w:tcPr>
          <w:p w14:paraId="042BE358" w14:textId="77777777" w:rsidR="00D117E8" w:rsidRPr="002C5C6D" w:rsidRDefault="00D117E8" w:rsidP="00D11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</w:tcPr>
          <w:p w14:paraId="22BD4E88" w14:textId="79E6D063" w:rsidR="00D117E8" w:rsidRPr="002C5C6D" w:rsidRDefault="00D117E8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>KS ISO/TS 16393:2019</w:t>
            </w:r>
          </w:p>
        </w:tc>
        <w:tc>
          <w:tcPr>
            <w:tcW w:w="6504" w:type="dxa"/>
          </w:tcPr>
          <w:p w14:paraId="537A8DA6" w14:textId="0CAB4455" w:rsidR="00D117E8" w:rsidRPr="002C5C6D" w:rsidRDefault="002C5C6D" w:rsidP="00D117E8">
            <w:pPr>
              <w:rPr>
                <w:rFonts w:ascii="Arial" w:hAnsi="Arial" w:cs="Arial"/>
              </w:rPr>
            </w:pPr>
            <w:r w:rsidRPr="002C5C6D">
              <w:rPr>
                <w:rFonts w:ascii="Arial" w:hAnsi="Arial" w:cs="Arial"/>
              </w:rPr>
              <w:t xml:space="preserve"> Molecular biomarker analysis — Determination of the performance characteristics of qualitative measurement methods and validation of methods,</w:t>
            </w:r>
            <w:r w:rsidRPr="002C5C6D">
              <w:rPr>
                <w:rFonts w:ascii="Arial" w:hAnsi="Arial" w:cs="Arial"/>
              </w:rPr>
              <w:t xml:space="preserve"> First Edition</w:t>
            </w:r>
          </w:p>
        </w:tc>
      </w:tr>
      <w:tr w:rsidR="00D117E8" w14:paraId="71A7190C" w14:textId="77777777" w:rsidTr="007F7C9A">
        <w:tc>
          <w:tcPr>
            <w:tcW w:w="712" w:type="dxa"/>
          </w:tcPr>
          <w:p w14:paraId="40C4FA40" w14:textId="77777777" w:rsidR="00D117E8" w:rsidRPr="00D117E8" w:rsidRDefault="00D117E8" w:rsidP="00D117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</w:tcPr>
          <w:p w14:paraId="5FC1354D" w14:textId="77777777" w:rsidR="00D117E8" w:rsidRPr="007E5F7F" w:rsidRDefault="00D117E8" w:rsidP="00D117E8"/>
        </w:tc>
        <w:tc>
          <w:tcPr>
            <w:tcW w:w="6504" w:type="dxa"/>
          </w:tcPr>
          <w:p w14:paraId="1226B2D4" w14:textId="77777777" w:rsidR="00D117E8" w:rsidRPr="0052338B" w:rsidRDefault="00D117E8" w:rsidP="00D117E8">
            <w:pPr>
              <w:rPr>
                <w:rFonts w:ascii="Arial" w:hAnsi="Arial" w:cs="Arial"/>
              </w:rPr>
            </w:pPr>
          </w:p>
        </w:tc>
      </w:tr>
    </w:tbl>
    <w:p w14:paraId="05652FB9" w14:textId="77777777" w:rsidR="003D15F4" w:rsidRDefault="003D15F4" w:rsidP="007D7BDE">
      <w:pPr>
        <w:rPr>
          <w:rFonts w:ascii="Verdana" w:hAnsi="Verdana"/>
          <w:color w:val="000000"/>
          <w:sz w:val="16"/>
          <w:szCs w:val="16"/>
        </w:rPr>
      </w:pPr>
    </w:p>
    <w:sectPr w:rsidR="003D15F4" w:rsidSect="00EF6812">
      <w:footerReference w:type="default" r:id="rId11"/>
      <w:headerReference w:type="first" r:id="rId12"/>
      <w:footerReference w:type="first" r:id="rId13"/>
      <w:pgSz w:w="11909" w:h="16834" w:code="9"/>
      <w:pgMar w:top="1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304B" w14:textId="77777777" w:rsidR="001E2216" w:rsidRDefault="001E2216" w:rsidP="007D7BDE">
      <w:r>
        <w:separator/>
      </w:r>
    </w:p>
  </w:endnote>
  <w:endnote w:type="continuationSeparator" w:id="0">
    <w:p w14:paraId="6563238C" w14:textId="77777777" w:rsidR="001E2216" w:rsidRDefault="001E2216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50F37940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DB4F9A">
      <w:rPr>
        <w:rStyle w:val="PageNumber"/>
        <w:b/>
        <w:noProof/>
      </w:rPr>
      <w:t>2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DB4F9A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7A1854AC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DB4F9A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DB4F9A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54F0" w14:textId="77777777" w:rsidR="001E2216" w:rsidRDefault="001E2216" w:rsidP="007D7BDE">
      <w:r>
        <w:separator/>
      </w:r>
    </w:p>
  </w:footnote>
  <w:footnote w:type="continuationSeparator" w:id="0">
    <w:p w14:paraId="7E411FB6" w14:textId="77777777" w:rsidR="001E2216" w:rsidRDefault="001E2216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6258" w14:textId="0D6E9D84" w:rsidR="005D3435" w:rsidRDefault="005D3435" w:rsidP="005D3435">
    <w:pPr>
      <w:pStyle w:val="Header"/>
      <w:jc w:val="center"/>
    </w:pPr>
    <w:r w:rsidRPr="00796352">
      <w:rPr>
        <w:rFonts w:ascii="Arial Narrow" w:hAnsi="Arial Narrow"/>
        <w:noProof/>
        <w:sz w:val="24"/>
        <w:szCs w:val="24"/>
      </w:rPr>
      <w:drawing>
        <wp:inline distT="0" distB="0" distL="0" distR="0" wp14:anchorId="679D98BB" wp14:editId="23F93E96">
          <wp:extent cx="2101515" cy="598532"/>
          <wp:effectExtent l="0" t="0" r="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7" b="12360"/>
                  <a:stretch>
                    <a:fillRect/>
                  </a:stretch>
                </pic:blipFill>
                <pic:spPr bwMode="auto">
                  <a:xfrm>
                    <a:off x="0" y="0"/>
                    <a:ext cx="2129133" cy="606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4049E0"/>
    <w:multiLevelType w:val="hybridMultilevel"/>
    <w:tmpl w:val="C1E8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1737416">
    <w:abstractNumId w:val="1"/>
  </w:num>
  <w:num w:numId="2" w16cid:durableId="2145536659">
    <w:abstractNumId w:val="0"/>
  </w:num>
  <w:num w:numId="3" w16cid:durableId="668412479">
    <w:abstractNumId w:val="4"/>
  </w:num>
  <w:num w:numId="4" w16cid:durableId="1063986908">
    <w:abstractNumId w:val="2"/>
  </w:num>
  <w:num w:numId="5" w16cid:durableId="17271968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43F37"/>
    <w:rsid w:val="00050216"/>
    <w:rsid w:val="00074575"/>
    <w:rsid w:val="000A35DF"/>
    <w:rsid w:val="000A5E80"/>
    <w:rsid w:val="000C4E32"/>
    <w:rsid w:val="00103C02"/>
    <w:rsid w:val="00146B64"/>
    <w:rsid w:val="00154D57"/>
    <w:rsid w:val="00161F8F"/>
    <w:rsid w:val="001A2CFE"/>
    <w:rsid w:val="001D112C"/>
    <w:rsid w:val="001E2216"/>
    <w:rsid w:val="002236B8"/>
    <w:rsid w:val="00226FF2"/>
    <w:rsid w:val="00241E4B"/>
    <w:rsid w:val="00242755"/>
    <w:rsid w:val="00282D9D"/>
    <w:rsid w:val="002C5C6D"/>
    <w:rsid w:val="002E03CE"/>
    <w:rsid w:val="002E12DF"/>
    <w:rsid w:val="002E3F7C"/>
    <w:rsid w:val="00350BFA"/>
    <w:rsid w:val="0037216D"/>
    <w:rsid w:val="003A2DFD"/>
    <w:rsid w:val="003C4A6C"/>
    <w:rsid w:val="003D15F4"/>
    <w:rsid w:val="003F2C4E"/>
    <w:rsid w:val="00402707"/>
    <w:rsid w:val="00452734"/>
    <w:rsid w:val="00506AFA"/>
    <w:rsid w:val="0052338B"/>
    <w:rsid w:val="005965CF"/>
    <w:rsid w:val="005D0F9C"/>
    <w:rsid w:val="005D3435"/>
    <w:rsid w:val="005D3E09"/>
    <w:rsid w:val="005E2F92"/>
    <w:rsid w:val="00680852"/>
    <w:rsid w:val="006B2D93"/>
    <w:rsid w:val="00703562"/>
    <w:rsid w:val="00703CB1"/>
    <w:rsid w:val="00710322"/>
    <w:rsid w:val="00721799"/>
    <w:rsid w:val="007244A4"/>
    <w:rsid w:val="007505E1"/>
    <w:rsid w:val="00756E07"/>
    <w:rsid w:val="00766B20"/>
    <w:rsid w:val="007D5546"/>
    <w:rsid w:val="007D7BDE"/>
    <w:rsid w:val="007F7C9A"/>
    <w:rsid w:val="00810E69"/>
    <w:rsid w:val="008572A5"/>
    <w:rsid w:val="00877DFF"/>
    <w:rsid w:val="00893D7E"/>
    <w:rsid w:val="008B3FDD"/>
    <w:rsid w:val="008C0A2B"/>
    <w:rsid w:val="009850ED"/>
    <w:rsid w:val="00A01303"/>
    <w:rsid w:val="00A15AB7"/>
    <w:rsid w:val="00A87B44"/>
    <w:rsid w:val="00AB16F3"/>
    <w:rsid w:val="00B04B5B"/>
    <w:rsid w:val="00B2270E"/>
    <w:rsid w:val="00B75B53"/>
    <w:rsid w:val="00BA0183"/>
    <w:rsid w:val="00BE50D8"/>
    <w:rsid w:val="00BF6EDE"/>
    <w:rsid w:val="00C23675"/>
    <w:rsid w:val="00C734AC"/>
    <w:rsid w:val="00C92629"/>
    <w:rsid w:val="00D117E8"/>
    <w:rsid w:val="00D711C5"/>
    <w:rsid w:val="00DB4F9A"/>
    <w:rsid w:val="00DC7D31"/>
    <w:rsid w:val="00DE4B09"/>
    <w:rsid w:val="00E00478"/>
    <w:rsid w:val="00E1291B"/>
    <w:rsid w:val="00E25CCB"/>
    <w:rsid w:val="00E41A20"/>
    <w:rsid w:val="00E67378"/>
    <w:rsid w:val="00E84C67"/>
    <w:rsid w:val="00EB7875"/>
    <w:rsid w:val="00EF6812"/>
    <w:rsid w:val="00EF7104"/>
    <w:rsid w:val="00F57A84"/>
    <w:rsid w:val="00F64E10"/>
    <w:rsid w:val="00F701C2"/>
    <w:rsid w:val="00F87FFB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dzombaa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47F5E666-03B1-46CF-AD33-6287B0FE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Agnes Mdzomba</cp:lastModifiedBy>
  <cp:revision>4</cp:revision>
  <dcterms:created xsi:type="dcterms:W3CDTF">2024-10-28T09:16:00Z</dcterms:created>
  <dcterms:modified xsi:type="dcterms:W3CDTF">2024-10-28T09:52:00Z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