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8FED" w14:textId="17F4893A" w:rsidR="009522E5" w:rsidRDefault="00A24478" w:rsidP="009522E5">
      <w:pPr>
        <w:pStyle w:val="Heading5"/>
        <w:pBdr>
          <w:bottom w:val="thinThickThinSmallGap" w:sz="24" w:space="1" w:color="00FF00"/>
        </w:pBdr>
        <w:spacing w:before="1800" w:after="0" w:line="240" w:lineRule="auto"/>
        <w:jc w:val="center"/>
        <w:rPr>
          <w:rFonts w:cs="Arial"/>
          <w:bCs/>
          <w:sz w:val="36"/>
        </w:rPr>
      </w:pPr>
      <w:r>
        <w:rPr>
          <w:rFonts w:cs="Arial"/>
          <w:bCs/>
          <w:sz w:val="36"/>
        </w:rPr>
        <w:t xml:space="preserve">DRAFT </w:t>
      </w:r>
      <w:r w:rsidR="009522E5">
        <w:rPr>
          <w:rFonts w:cs="Arial"/>
          <w:bCs/>
          <w:sz w:val="36"/>
        </w:rPr>
        <w:t>EAST AFRICAN STANDARD</w:t>
      </w:r>
    </w:p>
    <w:p w14:paraId="5E635761" w14:textId="72D0D87C" w:rsidR="009522E5" w:rsidRPr="00A24478" w:rsidRDefault="00F43861" w:rsidP="009522E5">
      <w:pPr>
        <w:pStyle w:val="zzCover"/>
        <w:spacing w:before="600" w:after="4920"/>
        <w:jc w:val="left"/>
        <w:rPr>
          <w:color w:val="auto"/>
          <w:sz w:val="28"/>
          <w:szCs w:val="28"/>
        </w:rPr>
      </w:pPr>
      <w:r>
        <w:rPr>
          <w:rFonts w:cs="Arial"/>
          <w:bCs/>
          <w:color w:val="auto"/>
          <w:sz w:val="28"/>
          <w:szCs w:val="28"/>
        </w:rPr>
        <w:t xml:space="preserve">Illuminating kerosene </w:t>
      </w:r>
      <w:r w:rsidR="000A28FB" w:rsidRPr="000A28FB">
        <w:rPr>
          <w:rFonts w:cs="Arial"/>
          <w:bCs/>
          <w:color w:val="auto"/>
          <w:sz w:val="28"/>
          <w:szCs w:val="28"/>
        </w:rPr>
        <w:t xml:space="preserve"> </w:t>
      </w:r>
      <w:r w:rsidR="00912D86" w:rsidRPr="00912D86">
        <w:rPr>
          <w:rFonts w:cs="Arial"/>
          <w:bCs/>
          <w:color w:val="auto"/>
          <w:sz w:val="28"/>
          <w:szCs w:val="28"/>
        </w:rPr>
        <w:t>— Specification</w:t>
      </w:r>
    </w:p>
    <w:p w14:paraId="241C0DBD" w14:textId="77777777" w:rsidR="009522E5" w:rsidRDefault="009522E5" w:rsidP="009522E5">
      <w:pPr>
        <w:pStyle w:val="Heading7"/>
        <w:pBdr>
          <w:bottom w:val="thinThickThinSmallGap" w:sz="24" w:space="1" w:color="00FF00"/>
        </w:pBdr>
        <w:spacing w:before="100" w:beforeAutospacing="1" w:after="0" w:line="240" w:lineRule="auto"/>
        <w:jc w:val="center"/>
        <w:rPr>
          <w:sz w:val="32"/>
        </w:rPr>
      </w:pPr>
      <w:r>
        <w:rPr>
          <w:sz w:val="32"/>
        </w:rPr>
        <w:t>EAST AFRICAN COMMUNITY</w:t>
      </w:r>
    </w:p>
    <w:p w14:paraId="13E8BA92" w14:textId="77777777" w:rsidR="009522E5" w:rsidRDefault="009522E5" w:rsidP="009522E5">
      <w:pPr>
        <w:pStyle w:val="Definition"/>
      </w:pPr>
    </w:p>
    <w:p w14:paraId="50869534" w14:textId="77777777" w:rsidR="00D17C07" w:rsidRPr="00D17C07" w:rsidRDefault="00D17C07" w:rsidP="00D17C07"/>
    <w:p w14:paraId="443636E3" w14:textId="77777777" w:rsidR="00D17C07" w:rsidRPr="00D17C07" w:rsidRDefault="00D17C07" w:rsidP="00D17C07"/>
    <w:p w14:paraId="50111C08" w14:textId="77777777" w:rsidR="00D17C07" w:rsidRPr="00D17C07" w:rsidRDefault="00D17C07" w:rsidP="00D17C07"/>
    <w:p w14:paraId="687D052D" w14:textId="77777777" w:rsidR="00D17C07" w:rsidRPr="00D17C07" w:rsidRDefault="00D17C07" w:rsidP="00D17C07"/>
    <w:p w14:paraId="7002F569" w14:textId="77777777" w:rsidR="00D17C07" w:rsidRPr="00D17C07" w:rsidRDefault="00D17C07" w:rsidP="00D17C07"/>
    <w:p w14:paraId="23F39919" w14:textId="77777777" w:rsidR="00D17C07" w:rsidRDefault="00D17C07" w:rsidP="00D17C07">
      <w:pPr>
        <w:jc w:val="right"/>
      </w:pPr>
    </w:p>
    <w:p w14:paraId="1F0573A9" w14:textId="77777777" w:rsidR="00D17C07" w:rsidRDefault="00D17C07" w:rsidP="00D17C07"/>
    <w:p w14:paraId="6347DBE8" w14:textId="77777777" w:rsidR="00D17C07" w:rsidRPr="00D17C07" w:rsidRDefault="00D17C07" w:rsidP="00D17C07">
      <w:pPr>
        <w:sectPr w:rsidR="00D17C07" w:rsidRPr="00D17C07" w:rsidSect="00D11D33">
          <w:headerReference w:type="even" r:id="rId8"/>
          <w:headerReference w:type="default" r:id="rId9"/>
          <w:footerReference w:type="even" r:id="rId10"/>
          <w:footerReference w:type="default" r:id="rId11"/>
          <w:headerReference w:type="first" r:id="rId12"/>
          <w:footerReference w:type="first" r:id="rId13"/>
          <w:type w:val="evenPage"/>
          <w:pgSz w:w="11906" w:h="16838" w:code="9"/>
          <w:pgMar w:top="850" w:right="734" w:bottom="1080" w:left="850" w:header="706" w:footer="908" w:gutter="562"/>
          <w:pgNumType w:fmt="lowerRoman" w:start="2"/>
          <w:cols w:space="720"/>
          <w:titlePg/>
        </w:sectPr>
      </w:pPr>
    </w:p>
    <w:p w14:paraId="56CC41B9" w14:textId="77777777" w:rsidR="009522E5" w:rsidRPr="00493487" w:rsidRDefault="009522E5" w:rsidP="009522E5">
      <w:pPr>
        <w:pStyle w:val="zzCopyright"/>
        <w:jc w:val="center"/>
        <w:rPr>
          <w:b/>
          <w:bCs/>
          <w:color w:val="auto"/>
          <w:sz w:val="24"/>
          <w:szCs w:val="24"/>
        </w:rPr>
      </w:pPr>
      <w:r w:rsidRPr="00493487">
        <w:rPr>
          <w:b/>
          <w:bCs/>
          <w:color w:val="auto"/>
          <w:sz w:val="24"/>
          <w:szCs w:val="24"/>
        </w:rPr>
        <w:lastRenderedPageBreak/>
        <w:t>Copyright notice</w:t>
      </w:r>
    </w:p>
    <w:p w14:paraId="75024C5E" w14:textId="77777777" w:rsidR="009522E5" w:rsidRPr="00493487" w:rsidRDefault="009522E5" w:rsidP="009522E5">
      <w:pPr>
        <w:pStyle w:val="zzCopyright"/>
        <w:rPr>
          <w:color w:val="auto"/>
        </w:rPr>
      </w:pPr>
      <w:r w:rsidRPr="00493487">
        <w:rPr>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74389D25" w14:textId="77777777" w:rsidR="009522E5" w:rsidRPr="00493487" w:rsidRDefault="009522E5" w:rsidP="009522E5">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3AF17CF8" w14:textId="77777777" w:rsidR="009522E5" w:rsidRPr="00E556B4" w:rsidRDefault="009522E5" w:rsidP="009522E5">
      <w:pPr>
        <w:pStyle w:val="zzCopyright"/>
        <w:spacing w:after="0"/>
        <w:ind w:firstLine="400"/>
        <w:jc w:val="left"/>
        <w:rPr>
          <w:i/>
          <w:iCs/>
          <w:color w:val="auto"/>
        </w:rPr>
      </w:pPr>
      <w:r w:rsidRPr="00E556B4">
        <w:rPr>
          <w:i/>
          <w:iCs/>
          <w:color w:val="auto"/>
        </w:rPr>
        <w:t>© East African Community</w:t>
      </w:r>
      <w:r w:rsidRPr="00AF2D10">
        <w:rPr>
          <w:i/>
          <w:iCs/>
          <w:color w:val="auto"/>
        </w:rPr>
        <w:t xml:space="preserve"> </w:t>
      </w:r>
      <w:r w:rsidR="00A24478">
        <w:rPr>
          <w:i/>
          <w:iCs/>
          <w:color w:val="auto"/>
        </w:rPr>
        <w:t>20</w:t>
      </w:r>
      <w:r w:rsidR="00E65428">
        <w:rPr>
          <w:i/>
          <w:iCs/>
          <w:color w:val="auto"/>
        </w:rPr>
        <w:t>2</w:t>
      </w:r>
      <w:r w:rsidR="009D4B26">
        <w:rPr>
          <w:i/>
          <w:iCs/>
          <w:color w:val="auto"/>
        </w:rPr>
        <w:t>2</w:t>
      </w:r>
      <w:r w:rsidRPr="00E556B4">
        <w:rPr>
          <w:i/>
          <w:iCs/>
          <w:color w:val="auto"/>
        </w:rPr>
        <w:t xml:space="preserve"> — All rights reserved</w:t>
      </w:r>
    </w:p>
    <w:p w14:paraId="5D53F88E" w14:textId="77777777" w:rsidR="009522E5" w:rsidRPr="00E556B4" w:rsidRDefault="009522E5" w:rsidP="009522E5">
      <w:pPr>
        <w:pStyle w:val="zzCopyright"/>
        <w:tabs>
          <w:tab w:val="clear" w:pos="9623"/>
          <w:tab w:val="left" w:pos="6050"/>
        </w:tabs>
        <w:spacing w:after="0"/>
        <w:ind w:firstLine="400"/>
        <w:jc w:val="left"/>
        <w:rPr>
          <w:i/>
          <w:iCs/>
          <w:color w:val="auto"/>
        </w:rPr>
      </w:pPr>
      <w:r w:rsidRPr="00E556B4">
        <w:rPr>
          <w:i/>
          <w:iCs/>
          <w:color w:val="auto"/>
        </w:rPr>
        <w:t>East African Community</w:t>
      </w:r>
      <w:r>
        <w:rPr>
          <w:i/>
          <w:iCs/>
          <w:color w:val="auto"/>
        </w:rPr>
        <w:tab/>
      </w:r>
    </w:p>
    <w:p w14:paraId="79733DD8" w14:textId="77777777" w:rsidR="009522E5" w:rsidRPr="00E556B4" w:rsidRDefault="009522E5" w:rsidP="009522E5">
      <w:pPr>
        <w:pStyle w:val="zzCopyright"/>
        <w:spacing w:after="0"/>
        <w:ind w:firstLine="400"/>
        <w:jc w:val="left"/>
        <w:rPr>
          <w:i/>
          <w:iCs/>
          <w:color w:val="auto"/>
        </w:rPr>
      </w:pPr>
      <w:r w:rsidRPr="00E556B4">
        <w:rPr>
          <w:i/>
          <w:iCs/>
          <w:color w:val="auto"/>
        </w:rPr>
        <w:t>P.O.</w:t>
      </w:r>
      <w:r w:rsidR="00FA63DA">
        <w:rPr>
          <w:i/>
          <w:iCs/>
          <w:color w:val="auto"/>
        </w:rPr>
        <w:t xml:space="preserve"> </w:t>
      </w:r>
      <w:r w:rsidRPr="00E556B4">
        <w:rPr>
          <w:i/>
          <w:iCs/>
          <w:color w:val="auto"/>
        </w:rPr>
        <w:t>Box 1096</w:t>
      </w:r>
      <w:r w:rsidR="00D47159" w:rsidRPr="00FA63DA">
        <w:rPr>
          <w:i/>
          <w:iCs/>
          <w:color w:val="auto"/>
        </w:rPr>
        <w:t>,</w:t>
      </w:r>
    </w:p>
    <w:p w14:paraId="551874A3" w14:textId="77777777" w:rsidR="009522E5" w:rsidRPr="005126A7" w:rsidRDefault="009522E5" w:rsidP="009522E5">
      <w:pPr>
        <w:pStyle w:val="zzCopyright"/>
        <w:spacing w:after="0"/>
        <w:ind w:firstLine="400"/>
        <w:jc w:val="left"/>
        <w:rPr>
          <w:i/>
          <w:iCs/>
          <w:color w:val="auto"/>
          <w:lang w:val="it-IT"/>
        </w:rPr>
      </w:pPr>
      <w:r w:rsidRPr="005126A7">
        <w:rPr>
          <w:i/>
          <w:iCs/>
          <w:color w:val="auto"/>
          <w:lang w:val="it-IT"/>
        </w:rPr>
        <w:t>Arusha</w:t>
      </w:r>
    </w:p>
    <w:p w14:paraId="263F8415" w14:textId="77777777" w:rsidR="009522E5" w:rsidRPr="005126A7" w:rsidRDefault="009522E5" w:rsidP="009522E5">
      <w:pPr>
        <w:pStyle w:val="zzCopyright"/>
        <w:spacing w:after="0"/>
        <w:ind w:firstLine="400"/>
        <w:jc w:val="left"/>
        <w:rPr>
          <w:i/>
          <w:iCs/>
          <w:color w:val="auto"/>
          <w:lang w:val="it-IT"/>
        </w:rPr>
      </w:pPr>
      <w:r w:rsidRPr="005126A7">
        <w:rPr>
          <w:i/>
          <w:iCs/>
          <w:color w:val="auto"/>
          <w:lang w:val="it-IT"/>
        </w:rPr>
        <w:t>Tanzania</w:t>
      </w:r>
    </w:p>
    <w:p w14:paraId="6DBADE8F" w14:textId="77777777" w:rsidR="009522E5" w:rsidRPr="005126A7" w:rsidRDefault="009522E5" w:rsidP="009522E5">
      <w:pPr>
        <w:pStyle w:val="zzCopyright"/>
        <w:spacing w:after="0"/>
        <w:ind w:firstLine="400"/>
        <w:jc w:val="left"/>
        <w:rPr>
          <w:i/>
          <w:iCs/>
          <w:color w:val="auto"/>
          <w:lang w:val="it-IT"/>
        </w:rPr>
      </w:pPr>
      <w:r w:rsidRPr="005126A7">
        <w:rPr>
          <w:i/>
          <w:iCs/>
          <w:color w:val="auto"/>
          <w:lang w:val="it-IT"/>
        </w:rPr>
        <w:t xml:space="preserve">Tel: </w:t>
      </w:r>
      <w:r w:rsidR="00495DAE" w:rsidRPr="005126A7">
        <w:rPr>
          <w:i/>
          <w:iCs/>
          <w:color w:val="auto"/>
          <w:lang w:val="it-IT"/>
        </w:rPr>
        <w:t xml:space="preserve">+ </w:t>
      </w:r>
      <w:r w:rsidRPr="005126A7">
        <w:rPr>
          <w:i/>
          <w:iCs/>
          <w:color w:val="auto"/>
          <w:lang w:val="it-IT"/>
        </w:rPr>
        <w:t>255 27 2</w:t>
      </w:r>
      <w:r w:rsidR="00FA63DA" w:rsidRPr="005126A7">
        <w:rPr>
          <w:i/>
          <w:iCs/>
          <w:color w:val="auto"/>
          <w:lang w:val="it-IT"/>
        </w:rPr>
        <w:t>162100</w:t>
      </w:r>
    </w:p>
    <w:p w14:paraId="34F91859" w14:textId="77777777" w:rsidR="009522E5" w:rsidRPr="005126A7" w:rsidRDefault="009522E5" w:rsidP="009522E5">
      <w:pPr>
        <w:pStyle w:val="zzCopyright"/>
        <w:spacing w:after="0"/>
        <w:ind w:firstLine="400"/>
        <w:jc w:val="left"/>
        <w:rPr>
          <w:i/>
          <w:iCs/>
          <w:color w:val="auto"/>
          <w:lang w:val="it-IT"/>
        </w:rPr>
      </w:pPr>
      <w:r w:rsidRPr="005126A7">
        <w:rPr>
          <w:i/>
          <w:iCs/>
          <w:color w:val="auto"/>
          <w:lang w:val="it-IT"/>
        </w:rPr>
        <w:t xml:space="preserve">Fax: </w:t>
      </w:r>
      <w:r w:rsidR="003717A2" w:rsidRPr="005126A7">
        <w:rPr>
          <w:i/>
          <w:iCs/>
          <w:color w:val="auto"/>
          <w:lang w:val="it-IT"/>
        </w:rPr>
        <w:t xml:space="preserve">+ </w:t>
      </w:r>
      <w:r w:rsidRPr="005126A7">
        <w:rPr>
          <w:i/>
          <w:iCs/>
          <w:color w:val="auto"/>
          <w:lang w:val="it-IT"/>
        </w:rPr>
        <w:t xml:space="preserve">255 27 </w:t>
      </w:r>
      <w:r w:rsidR="00FA63DA" w:rsidRPr="005126A7">
        <w:rPr>
          <w:i/>
          <w:iCs/>
          <w:color w:val="auto"/>
          <w:lang w:val="it-IT"/>
        </w:rPr>
        <w:t>2162190</w:t>
      </w:r>
    </w:p>
    <w:p w14:paraId="5327E6AC" w14:textId="77777777" w:rsidR="009522E5" w:rsidRPr="005126A7" w:rsidRDefault="009522E5" w:rsidP="009522E5">
      <w:pPr>
        <w:pStyle w:val="zzCopyright"/>
        <w:spacing w:after="0"/>
        <w:ind w:firstLine="400"/>
        <w:rPr>
          <w:i/>
          <w:iCs/>
          <w:color w:val="auto"/>
          <w:lang w:val="it-IT"/>
        </w:rPr>
      </w:pPr>
      <w:r w:rsidRPr="005126A7">
        <w:rPr>
          <w:i/>
          <w:iCs/>
          <w:color w:val="auto"/>
          <w:lang w:val="it-IT"/>
        </w:rPr>
        <w:t>E-mail: eac@eachq.org</w:t>
      </w:r>
    </w:p>
    <w:p w14:paraId="3CC9343E" w14:textId="77777777" w:rsidR="009522E5" w:rsidRDefault="009522E5" w:rsidP="009522E5">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Web: www.eac-quality.net</w:t>
      </w:r>
    </w:p>
    <w:p w14:paraId="0DE60D9C" w14:textId="77777777" w:rsidR="009522E5" w:rsidRDefault="009522E5" w:rsidP="009522E5">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w:t>
      </w:r>
      <w:r w:rsidR="00495DAE" w:rsidRPr="005126A7">
        <w:rPr>
          <w:color w:val="auto"/>
        </w:rPr>
        <w:t>o</w:t>
      </w:r>
      <w:r w:rsidRPr="005126A7">
        <w:rPr>
          <w:color w:val="auto"/>
        </w:rPr>
        <w:t>secuted</w:t>
      </w:r>
      <w:r w:rsidR="00495DAE" w:rsidRPr="005126A7">
        <w:rPr>
          <w:color w:val="auto"/>
        </w:rPr>
        <w:t>.</w:t>
      </w:r>
    </w:p>
    <w:p w14:paraId="4DA4E067" w14:textId="77777777" w:rsidR="00EC4B78" w:rsidRDefault="00EC4B78">
      <w:pPr>
        <w:rPr>
          <w:noProof/>
        </w:rPr>
      </w:pPr>
    </w:p>
    <w:p w14:paraId="4941BB3D" w14:textId="77777777" w:rsidR="008728D2" w:rsidRDefault="008728D2" w:rsidP="008728D2">
      <w:pPr>
        <w:pStyle w:val="zzForeword"/>
        <w:spacing w:before="120" w:after="0"/>
        <w:rPr>
          <w:color w:val="auto"/>
        </w:rPr>
      </w:pPr>
      <w:bookmarkStart w:id="0" w:name="_Toc165968670"/>
      <w:bookmarkStart w:id="1" w:name="_Toc101337840"/>
      <w:r>
        <w:rPr>
          <w:color w:val="auto"/>
        </w:rPr>
        <w:lastRenderedPageBreak/>
        <w:t>Foreword</w:t>
      </w:r>
      <w:bookmarkEnd w:id="0"/>
      <w:bookmarkEnd w:id="1"/>
    </w:p>
    <w:p w14:paraId="79B8FB9B" w14:textId="77777777" w:rsidR="008728D2" w:rsidRDefault="008728D2" w:rsidP="008728D2">
      <w:pPr>
        <w:tabs>
          <w:tab w:val="left" w:pos="1652"/>
        </w:tabs>
        <w:spacing w:before="120"/>
      </w:pPr>
      <w:bookmarkStart w:id="2" w:name="_Hlk153291787"/>
      <w: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14:paraId="48997174" w14:textId="77777777" w:rsidR="00563C35" w:rsidRDefault="00563C35" w:rsidP="005126A7">
      <w:pPr>
        <w:tabs>
          <w:tab w:val="left" w:pos="1652"/>
        </w:tabs>
      </w:pPr>
      <w:r>
        <w:t>T</w:t>
      </w:r>
      <w:r w:rsidR="008728D2">
        <w:t xml:space="preserve">he Community </w:t>
      </w:r>
      <w:r>
        <w:t xml:space="preserve">has </w:t>
      </w:r>
      <w:r w:rsidR="008728D2">
        <w:t>established an East African Standards Committee</w:t>
      </w:r>
      <w:r w:rsidR="00D94FA3">
        <w:t xml:space="preserve"> </w:t>
      </w:r>
      <w:r w:rsidR="00D94FA3" w:rsidRPr="001A5E92">
        <w:t>(</w:t>
      </w:r>
      <w:r w:rsidR="00D94FA3" w:rsidRPr="00563C35">
        <w:t>EASC)</w:t>
      </w:r>
      <w:r w:rsidR="008728D2">
        <w:t xml:space="preserve"> mandated to develop and issue East African Standards</w:t>
      </w:r>
      <w:r w:rsidR="00DE071F">
        <w:t xml:space="preserve"> </w:t>
      </w:r>
      <w:r w:rsidR="00DE071F" w:rsidRPr="001A5E92">
        <w:t>(EAS)</w:t>
      </w:r>
      <w:r w:rsidR="008728D2" w:rsidRPr="001A5E92">
        <w:t>.</w:t>
      </w:r>
      <w:r w:rsidR="008728D2">
        <w:rPr>
          <w:sz w:val="22"/>
          <w:szCs w:val="22"/>
        </w:rPr>
        <w:t xml:space="preserve"> </w:t>
      </w:r>
      <w:r w:rsidR="008728D2">
        <w:t xml:space="preserve">The Committee is composed of representatives of the National Standards Bodies in Partner States, together with the representatives from the </w:t>
      </w:r>
      <w:r>
        <w:t xml:space="preserve">public and </w:t>
      </w:r>
      <w:r w:rsidR="008728D2">
        <w:t>private sector organizations</w:t>
      </w:r>
      <w:r>
        <w:t xml:space="preserve"> in the community</w:t>
      </w:r>
      <w:r w:rsidR="008728D2">
        <w:t xml:space="preserve">. </w:t>
      </w:r>
    </w:p>
    <w:p w14:paraId="41A24AA1" w14:textId="77777777" w:rsidR="008728D2" w:rsidRDefault="00563C35" w:rsidP="005126A7">
      <w:pPr>
        <w:pStyle w:val="BodyText2"/>
        <w:tabs>
          <w:tab w:val="left" w:pos="1652"/>
        </w:tabs>
        <w:spacing w:before="0" w:line="240" w:lineRule="auto"/>
        <w:rPr>
          <w:sz w:val="20"/>
        </w:rPr>
      </w:pPr>
      <w:r>
        <w:rPr>
          <w:sz w:val="20"/>
        </w:rPr>
        <w:t xml:space="preserve">East African Standards are developed </w:t>
      </w:r>
      <w:r w:rsidR="001157C4">
        <w:rPr>
          <w:sz w:val="20"/>
        </w:rPr>
        <w:t>through</w:t>
      </w:r>
      <w:r>
        <w:rPr>
          <w:sz w:val="20"/>
        </w:rPr>
        <w:t xml:space="preserve"> Technical Committees that are representative of key stakeholders including government, academia, consumer groups, private sector and other interested parties. </w:t>
      </w:r>
      <w:r w:rsidR="008728D2">
        <w:rPr>
          <w:sz w:val="20"/>
        </w:rPr>
        <w:t xml:space="preserve">Draft East African Standards are circulated to stakeholders through the National Standards Bodies in the Partner States. The comments received are discussed and incorporated before finalization of standards, in </w:t>
      </w:r>
      <w:r w:rsidR="008728D2" w:rsidRPr="00B5797B">
        <w:rPr>
          <w:sz w:val="20"/>
        </w:rPr>
        <w:t xml:space="preserve">accordance with </w:t>
      </w:r>
      <w:r w:rsidR="0008623A" w:rsidRPr="00B5797B">
        <w:rPr>
          <w:sz w:val="20"/>
        </w:rPr>
        <w:t xml:space="preserve">the </w:t>
      </w:r>
      <w:r w:rsidR="00B94EBE" w:rsidRPr="00B5797B">
        <w:rPr>
          <w:sz w:val="20"/>
        </w:rPr>
        <w:t>P</w:t>
      </w:r>
      <w:r w:rsidR="0008623A" w:rsidRPr="00B5797B">
        <w:rPr>
          <w:sz w:val="20"/>
        </w:rPr>
        <w:t>rinciples and procedures for development of East African Standards</w:t>
      </w:r>
      <w:r w:rsidRPr="00B5797B">
        <w:rPr>
          <w:sz w:val="20"/>
        </w:rPr>
        <w:t>.</w:t>
      </w:r>
    </w:p>
    <w:p w14:paraId="0A15D404" w14:textId="77777777" w:rsidR="001157C4" w:rsidRDefault="008728D2" w:rsidP="008728D2">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 xml:space="preserve">. </w:t>
      </w:r>
    </w:p>
    <w:p w14:paraId="0273428C" w14:textId="77777777" w:rsidR="00E65428" w:rsidRPr="00912D86" w:rsidRDefault="00C947B2" w:rsidP="00C947B2">
      <w:pPr>
        <w:rPr>
          <w:i/>
          <w:iCs/>
        </w:rPr>
      </w:pPr>
      <w:r w:rsidRPr="005126A7">
        <w:t>The committee responsible</w:t>
      </w:r>
      <w:r w:rsidRPr="005126A7">
        <w:rPr>
          <w:color w:val="1F497D"/>
        </w:rPr>
        <w:t xml:space="preserve"> </w:t>
      </w:r>
      <w:r w:rsidRPr="005126A7">
        <w:t xml:space="preserve">for this document is Technical Committee </w:t>
      </w:r>
      <w:r w:rsidR="00E65428">
        <w:t xml:space="preserve">EASC/TC </w:t>
      </w:r>
      <w:r w:rsidR="00912D86" w:rsidRPr="00912D86">
        <w:t xml:space="preserve">068, </w:t>
      </w:r>
      <w:r w:rsidR="00912D86" w:rsidRPr="00912D86">
        <w:rPr>
          <w:i/>
          <w:iCs/>
        </w:rPr>
        <w:t>Petroleum and petroleum product</w:t>
      </w:r>
      <w:r w:rsidR="00912D86">
        <w:rPr>
          <w:i/>
          <w:iCs/>
        </w:rPr>
        <w:t>s</w:t>
      </w:r>
      <w:r w:rsidR="00912D86" w:rsidRPr="00912D86">
        <w:rPr>
          <w:i/>
          <w:iCs/>
        </w:rPr>
        <w:t>.</w:t>
      </w:r>
    </w:p>
    <w:p w14:paraId="1ACCA4F7" w14:textId="77777777" w:rsidR="001157C4" w:rsidRDefault="001157C4" w:rsidP="00C947B2">
      <w:r>
        <w:t>Attention is drawn to the possibility that some of the elements of this document may be subject of patent rights. EAC shall not be held responsible for identifying any or all such patent rights.</w:t>
      </w:r>
    </w:p>
    <w:bookmarkEnd w:id="2"/>
    <w:p w14:paraId="37E162BD" w14:textId="77777777" w:rsidR="00EC4B78" w:rsidRDefault="00EC4B78" w:rsidP="000A28FB">
      <w:pPr>
        <w:pStyle w:val="zzHelp"/>
        <w:tabs>
          <w:tab w:val="left" w:pos="800"/>
        </w:tabs>
        <w:sectPr w:rsidR="00EC4B78" w:rsidSect="00D11D33">
          <w:headerReference w:type="even" r:id="rId14"/>
          <w:headerReference w:type="default" r:id="rId15"/>
          <w:footerReference w:type="even" r:id="rId16"/>
          <w:footerReference w:type="default" r:id="rId17"/>
          <w:headerReference w:type="first" r:id="rId18"/>
          <w:footerReference w:type="first" r:id="rId19"/>
          <w:type w:val="evenPage"/>
          <w:pgSz w:w="11906" w:h="16838" w:code="9"/>
          <w:pgMar w:top="794" w:right="737" w:bottom="567" w:left="851" w:header="720" w:footer="284" w:gutter="567"/>
          <w:pgNumType w:fmt="lowerRoman" w:start="2"/>
          <w:cols w:space="720"/>
        </w:sectPr>
      </w:pPr>
    </w:p>
    <w:p w14:paraId="72310D26" w14:textId="77777777" w:rsidR="000813FB" w:rsidRDefault="009F2470">
      <w:pPr>
        <w:pStyle w:val="Heading1"/>
        <w:rPr>
          <w:sz w:val="28"/>
          <w:szCs w:val="28"/>
        </w:rPr>
      </w:pPr>
      <w:r w:rsidRPr="009F2470">
        <w:rPr>
          <w:sz w:val="28"/>
          <w:szCs w:val="28"/>
        </w:rPr>
        <w:lastRenderedPageBreak/>
        <w:t xml:space="preserve">Illuminating Kerosene — Specification </w:t>
      </w:r>
      <w:bookmarkStart w:id="3" w:name="_Toc443461091"/>
      <w:bookmarkStart w:id="4" w:name="_Toc443470360"/>
      <w:bookmarkStart w:id="5" w:name="_Toc450303210"/>
      <w:bookmarkStart w:id="6" w:name="_Toc101337841"/>
    </w:p>
    <w:p w14:paraId="5F82B7D8" w14:textId="020E1B11" w:rsidR="00EC4B78" w:rsidRDefault="00EC4B78">
      <w:pPr>
        <w:pStyle w:val="Heading1"/>
      </w:pPr>
      <w:r>
        <w:t>1</w:t>
      </w:r>
      <w:r>
        <w:tab/>
        <w:t>Scope</w:t>
      </w:r>
      <w:bookmarkEnd w:id="3"/>
      <w:bookmarkEnd w:id="4"/>
      <w:bookmarkEnd w:id="5"/>
      <w:bookmarkEnd w:id="6"/>
      <w:r w:rsidR="004D30C7">
        <w:t xml:space="preserve"> </w:t>
      </w:r>
    </w:p>
    <w:p w14:paraId="49FF651B" w14:textId="0DB910FA" w:rsidR="000813FB" w:rsidRDefault="00A003CA" w:rsidP="000813FB">
      <w:r w:rsidRPr="00A003CA">
        <w:t xml:space="preserve">This Draft East Africa Standard specifies requirements, test methods and sampling of Illuminating Kerosene suitable for use in domestic, commercial and industrial </w:t>
      </w:r>
      <w:r w:rsidR="000813FB" w:rsidRPr="00A003CA">
        <w:t>application.</w:t>
      </w:r>
      <w:r>
        <w:t xml:space="preserve"> </w:t>
      </w:r>
      <w:bookmarkStart w:id="7" w:name="_Toc443461093"/>
      <w:bookmarkStart w:id="8" w:name="_Toc443470362"/>
      <w:bookmarkStart w:id="9" w:name="_Toc450303212"/>
      <w:bookmarkStart w:id="10" w:name="_Toc101337842"/>
    </w:p>
    <w:p w14:paraId="3D8C949C" w14:textId="6600DBDC" w:rsidR="00EC4B78" w:rsidRDefault="00E72890">
      <w:pPr>
        <w:pStyle w:val="Heading1"/>
      </w:pPr>
      <w:r>
        <w:t>2</w:t>
      </w:r>
      <w:r w:rsidR="00EC4B78">
        <w:tab/>
        <w:t>Normative references</w:t>
      </w:r>
      <w:bookmarkEnd w:id="7"/>
      <w:bookmarkEnd w:id="8"/>
      <w:bookmarkEnd w:id="9"/>
      <w:bookmarkEnd w:id="10"/>
      <w:r w:rsidR="00DB1FC1">
        <w:t xml:space="preserve"> </w:t>
      </w:r>
    </w:p>
    <w:p w14:paraId="552DF871" w14:textId="77777777" w:rsidR="007A11FD" w:rsidRDefault="005C167E">
      <w:pPr>
        <w:keepNext/>
      </w:pPr>
      <w:r w:rsidRPr="005C167E">
        <w:t>The following referenced documents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1EA11D3D" w14:textId="77777777" w:rsidR="009F2470" w:rsidRPr="009F2470" w:rsidRDefault="009F2470" w:rsidP="009F2470">
      <w:pPr>
        <w:rPr>
          <w:i/>
          <w:iCs/>
        </w:rPr>
      </w:pPr>
      <w:r w:rsidRPr="009F2470">
        <w:rPr>
          <w:i/>
          <w:iCs/>
        </w:rPr>
        <w:t>ASTM D 56, Test method for flash point tag closed tester</w:t>
      </w:r>
    </w:p>
    <w:p w14:paraId="25EB8068" w14:textId="77777777" w:rsidR="009F2470" w:rsidRPr="009F2470" w:rsidRDefault="009F2470" w:rsidP="009F2470">
      <w:pPr>
        <w:rPr>
          <w:i/>
          <w:iCs/>
        </w:rPr>
      </w:pPr>
      <w:r w:rsidRPr="009F2470">
        <w:rPr>
          <w:i/>
          <w:iCs/>
        </w:rPr>
        <w:t>ASTMD 86, Test for distillation of petroleum products</w:t>
      </w:r>
    </w:p>
    <w:p w14:paraId="56A9E80D" w14:textId="77777777" w:rsidR="009F2470" w:rsidRPr="009F2470" w:rsidRDefault="009F2470" w:rsidP="009F2470">
      <w:pPr>
        <w:rPr>
          <w:i/>
          <w:iCs/>
        </w:rPr>
      </w:pPr>
      <w:r w:rsidRPr="009F2470">
        <w:rPr>
          <w:i/>
          <w:iCs/>
        </w:rPr>
        <w:t>ASTM D 156, Test for Saybolt colour of petroleum products (Saybolt chronometer method)</w:t>
      </w:r>
    </w:p>
    <w:p w14:paraId="4F38257F" w14:textId="77777777" w:rsidR="009F2470" w:rsidRPr="009F2470" w:rsidRDefault="009F2470" w:rsidP="009F2470">
      <w:pPr>
        <w:rPr>
          <w:i/>
          <w:iCs/>
        </w:rPr>
      </w:pPr>
      <w:r w:rsidRPr="009F2470">
        <w:rPr>
          <w:i/>
          <w:iCs/>
        </w:rPr>
        <w:t>ASTM D 187, Standard test method for burning quality of kerosene</w:t>
      </w:r>
    </w:p>
    <w:p w14:paraId="38034CC2" w14:textId="77777777" w:rsidR="009F2470" w:rsidRPr="009F2470" w:rsidRDefault="009F2470" w:rsidP="009F2470">
      <w:pPr>
        <w:rPr>
          <w:i/>
          <w:iCs/>
        </w:rPr>
      </w:pPr>
      <w:r w:rsidRPr="009F2470">
        <w:rPr>
          <w:i/>
          <w:iCs/>
        </w:rPr>
        <w:t>ASTM D 240, Test for heat of combustion of liquid hydrocarbon fuel (general bomb method)</w:t>
      </w:r>
    </w:p>
    <w:p w14:paraId="71A47D39" w14:textId="77777777" w:rsidR="009F2470" w:rsidRPr="009F2470" w:rsidRDefault="009F2470" w:rsidP="009F2470">
      <w:pPr>
        <w:rPr>
          <w:i/>
          <w:iCs/>
        </w:rPr>
      </w:pPr>
      <w:r w:rsidRPr="009F2470">
        <w:rPr>
          <w:i/>
          <w:iCs/>
        </w:rPr>
        <w:t>ASTM D 381, Test for existent gum in fuels by jet evaporation</w:t>
      </w:r>
    </w:p>
    <w:p w14:paraId="4E64F03D" w14:textId="77777777" w:rsidR="009F2470" w:rsidRPr="009F2470" w:rsidRDefault="009F2470" w:rsidP="009F2470">
      <w:pPr>
        <w:rPr>
          <w:i/>
          <w:iCs/>
        </w:rPr>
      </w:pPr>
      <w:r w:rsidRPr="009F2470">
        <w:rPr>
          <w:i/>
          <w:iCs/>
        </w:rPr>
        <w:t>ASTM D 445, Test for viscosity of transparent and opaque liquid (kinematic and dynamic viscosities)</w:t>
      </w:r>
    </w:p>
    <w:p w14:paraId="3FBCE83F" w14:textId="77777777" w:rsidR="009F2470" w:rsidRPr="009F2470" w:rsidRDefault="009F2470" w:rsidP="009F2470">
      <w:pPr>
        <w:rPr>
          <w:i/>
          <w:iCs/>
        </w:rPr>
      </w:pPr>
      <w:r w:rsidRPr="009F2470">
        <w:rPr>
          <w:i/>
          <w:iCs/>
        </w:rPr>
        <w:t>ASTM D 484, Specification for hydrocarbon dry cleaning solvents</w:t>
      </w:r>
    </w:p>
    <w:p w14:paraId="4D267D98" w14:textId="77777777" w:rsidR="009F2470" w:rsidRPr="009F2470" w:rsidRDefault="009F2470" w:rsidP="009F2470">
      <w:pPr>
        <w:rPr>
          <w:i/>
          <w:iCs/>
        </w:rPr>
      </w:pPr>
      <w:r w:rsidRPr="009F2470">
        <w:rPr>
          <w:i/>
          <w:iCs/>
        </w:rPr>
        <w:t xml:space="preserve">ASTM D 611, Test for aniline point and mixed aniline point of petroleum products and hydrocarbon </w:t>
      </w:r>
    </w:p>
    <w:p w14:paraId="58AD1FB6" w14:textId="77777777" w:rsidR="009F2470" w:rsidRPr="009F2470" w:rsidRDefault="009F2470" w:rsidP="009F2470">
      <w:pPr>
        <w:rPr>
          <w:i/>
          <w:iCs/>
        </w:rPr>
      </w:pPr>
      <w:r w:rsidRPr="009F2470">
        <w:rPr>
          <w:i/>
          <w:iCs/>
        </w:rPr>
        <w:t>solvents</w:t>
      </w:r>
    </w:p>
    <w:p w14:paraId="04A66DC0" w14:textId="77777777" w:rsidR="009F2470" w:rsidRPr="009F2470" w:rsidRDefault="009F2470" w:rsidP="009F2470">
      <w:pPr>
        <w:rPr>
          <w:i/>
          <w:iCs/>
        </w:rPr>
      </w:pPr>
      <w:r w:rsidRPr="009F2470">
        <w:rPr>
          <w:i/>
          <w:iCs/>
        </w:rPr>
        <w:t>ASTM D 1094, Test for water reaction of aviation fuels</w:t>
      </w:r>
    </w:p>
    <w:p w14:paraId="7FCD100D" w14:textId="77777777" w:rsidR="009F2470" w:rsidRPr="009F2470" w:rsidRDefault="009F2470" w:rsidP="009F2470">
      <w:pPr>
        <w:rPr>
          <w:i/>
          <w:iCs/>
        </w:rPr>
      </w:pPr>
      <w:r w:rsidRPr="009F2470">
        <w:rPr>
          <w:i/>
          <w:iCs/>
        </w:rPr>
        <w:t>ASTM D 1219, Test for mercaptan sulphur in aviation turine fuels (colour-indicator method)</w:t>
      </w:r>
    </w:p>
    <w:p w14:paraId="78EDB07D" w14:textId="77777777" w:rsidR="009F2470" w:rsidRPr="009F2470" w:rsidRDefault="009F2470" w:rsidP="009F2470">
      <w:pPr>
        <w:rPr>
          <w:i/>
          <w:iCs/>
        </w:rPr>
      </w:pPr>
      <w:r w:rsidRPr="009F2470">
        <w:rPr>
          <w:i/>
          <w:iCs/>
        </w:rPr>
        <w:t>ASTM D3227, Potentiometric titration method</w:t>
      </w:r>
    </w:p>
    <w:p w14:paraId="5198AFA8" w14:textId="77777777" w:rsidR="009F2470" w:rsidRPr="009F2470" w:rsidRDefault="009F2470" w:rsidP="009F2470">
      <w:pPr>
        <w:rPr>
          <w:i/>
          <w:iCs/>
        </w:rPr>
      </w:pPr>
      <w:r w:rsidRPr="009F2470">
        <w:rPr>
          <w:i/>
          <w:iCs/>
        </w:rPr>
        <w:t>ASTM D 1266, Test for sulphur in petroleum products (lamp method)</w:t>
      </w:r>
    </w:p>
    <w:p w14:paraId="7B666A1B" w14:textId="70798BCE" w:rsidR="009F2470" w:rsidRPr="009F2470" w:rsidRDefault="009F2470" w:rsidP="009F2470">
      <w:pPr>
        <w:rPr>
          <w:i/>
          <w:iCs/>
        </w:rPr>
      </w:pPr>
      <w:r w:rsidRPr="009F2470">
        <w:rPr>
          <w:i/>
          <w:iCs/>
        </w:rPr>
        <w:t>ASTM D 1298, Test for density, specific gravity or API gravity of crude petroleum and liquid petroleum products by hydrometer method</w:t>
      </w:r>
    </w:p>
    <w:p w14:paraId="23019282" w14:textId="77777777" w:rsidR="009F2470" w:rsidRPr="009F2470" w:rsidRDefault="009F2470" w:rsidP="009F2470">
      <w:pPr>
        <w:rPr>
          <w:i/>
          <w:iCs/>
        </w:rPr>
      </w:pPr>
      <w:r w:rsidRPr="009F2470">
        <w:rPr>
          <w:i/>
          <w:iCs/>
        </w:rPr>
        <w:t>ASTM D 1322, Test for smoke point of aviation turbine fuels</w:t>
      </w:r>
    </w:p>
    <w:p w14:paraId="0E5E5315" w14:textId="77777777" w:rsidR="009F2470" w:rsidRPr="009F2470" w:rsidRDefault="009F2470" w:rsidP="009F2470">
      <w:pPr>
        <w:rPr>
          <w:i/>
          <w:iCs/>
        </w:rPr>
      </w:pPr>
      <w:r w:rsidRPr="009F2470">
        <w:rPr>
          <w:i/>
          <w:iCs/>
        </w:rPr>
        <w:t>ASTM D 1322, Test for smoke point of aviation turbine fuels</w:t>
      </w:r>
    </w:p>
    <w:p w14:paraId="53A5F58A" w14:textId="77777777" w:rsidR="009F2470" w:rsidRPr="009F2470" w:rsidRDefault="009F2470" w:rsidP="009F2470">
      <w:pPr>
        <w:rPr>
          <w:i/>
          <w:iCs/>
        </w:rPr>
      </w:pPr>
      <w:r w:rsidRPr="009F2470">
        <w:rPr>
          <w:i/>
          <w:iCs/>
        </w:rPr>
        <w:lastRenderedPageBreak/>
        <w:t>ASTM D 1740, Test for luminometer numbers of aviation turbine fuels</w:t>
      </w:r>
    </w:p>
    <w:p w14:paraId="6F9B3E7D" w14:textId="01F4C97F" w:rsidR="009F2470" w:rsidRPr="009F2470" w:rsidRDefault="009F2470" w:rsidP="009F2470">
      <w:pPr>
        <w:rPr>
          <w:i/>
          <w:iCs/>
        </w:rPr>
      </w:pPr>
      <w:r w:rsidRPr="009F2470">
        <w:rPr>
          <w:i/>
          <w:iCs/>
        </w:rPr>
        <w:t xml:space="preserve">ASTM D 1840, Test for naphthalene hydrocarbons in aviation turbine fuels by ultraviolet </w:t>
      </w:r>
      <w:r>
        <w:rPr>
          <w:i/>
          <w:iCs/>
        </w:rPr>
        <w:t xml:space="preserve"> </w:t>
      </w:r>
      <w:r w:rsidRPr="009F2470">
        <w:rPr>
          <w:i/>
          <w:iCs/>
        </w:rPr>
        <w:t>spectrophotometer</w:t>
      </w:r>
    </w:p>
    <w:p w14:paraId="31B9278A" w14:textId="77777777" w:rsidR="009F2470" w:rsidRPr="009F2470" w:rsidRDefault="009F2470" w:rsidP="009F2470">
      <w:pPr>
        <w:rPr>
          <w:i/>
          <w:iCs/>
        </w:rPr>
      </w:pPr>
      <w:r w:rsidRPr="009F2470">
        <w:rPr>
          <w:i/>
          <w:iCs/>
        </w:rPr>
        <w:t>ASTM D 2386, Test for freezing point of aviation fuels</w:t>
      </w:r>
    </w:p>
    <w:p w14:paraId="272EA2CA" w14:textId="77777777" w:rsidR="009F2470" w:rsidRPr="009F2470" w:rsidRDefault="009F2470" w:rsidP="009F2470">
      <w:pPr>
        <w:rPr>
          <w:i/>
          <w:iCs/>
        </w:rPr>
      </w:pPr>
      <w:r w:rsidRPr="009F2470">
        <w:rPr>
          <w:i/>
          <w:iCs/>
        </w:rPr>
        <w:t>AST/IM D 2550, Test for water separation characteristics of aviation turbine fuels</w:t>
      </w:r>
    </w:p>
    <w:p w14:paraId="6CFE8EFE" w14:textId="23A4873C" w:rsidR="009F2470" w:rsidRPr="009F2470" w:rsidRDefault="009F2470" w:rsidP="009F2470">
      <w:pPr>
        <w:rPr>
          <w:i/>
          <w:iCs/>
        </w:rPr>
      </w:pPr>
      <w:r w:rsidRPr="009F2470">
        <w:rPr>
          <w:i/>
          <w:iCs/>
        </w:rPr>
        <w:t>ASTM D 2624, Test for electrical conductivity of aviation fuels containing a static dissipator additive</w:t>
      </w:r>
    </w:p>
    <w:p w14:paraId="36FC0DCF" w14:textId="77777777" w:rsidR="009F2470" w:rsidRPr="009F2470" w:rsidRDefault="009F2470" w:rsidP="009F2470">
      <w:pPr>
        <w:rPr>
          <w:i/>
          <w:iCs/>
        </w:rPr>
      </w:pPr>
      <w:r w:rsidRPr="009F2470">
        <w:rPr>
          <w:i/>
          <w:iCs/>
        </w:rPr>
        <w:t xml:space="preserve">ASTM D 3241, Test for thermal oxidation stability of aviation turbine fuels (JFTOT </w:t>
      </w:r>
    </w:p>
    <w:p w14:paraId="7EAA9111" w14:textId="77777777" w:rsidR="009F2470" w:rsidRPr="009F2470" w:rsidRDefault="009F2470" w:rsidP="009F2470">
      <w:pPr>
        <w:rPr>
          <w:i/>
          <w:iCs/>
        </w:rPr>
      </w:pPr>
      <w:r w:rsidRPr="009F2470">
        <w:rPr>
          <w:i/>
          <w:iCs/>
        </w:rPr>
        <w:t>procedure)</w:t>
      </w:r>
    </w:p>
    <w:p w14:paraId="708C3554" w14:textId="77777777" w:rsidR="009F2470" w:rsidRPr="009F2470" w:rsidRDefault="009F2470" w:rsidP="009F2470">
      <w:pPr>
        <w:rPr>
          <w:i/>
          <w:iCs/>
        </w:rPr>
      </w:pPr>
      <w:r w:rsidRPr="009F2470">
        <w:rPr>
          <w:i/>
          <w:iCs/>
        </w:rPr>
        <w:t>ASTMD 3828, Test method for flash point by Setaflash closed tester</w:t>
      </w:r>
    </w:p>
    <w:p w14:paraId="4DE6D6F8" w14:textId="77777777" w:rsidR="009F2470" w:rsidRPr="009F2470" w:rsidRDefault="009F2470" w:rsidP="009F2470">
      <w:pPr>
        <w:rPr>
          <w:i/>
          <w:iCs/>
        </w:rPr>
      </w:pPr>
      <w:r w:rsidRPr="009F2470">
        <w:rPr>
          <w:i/>
          <w:iCs/>
        </w:rPr>
        <w:t>IP 227, Silver corrosion by aviation turbine fuel</w:t>
      </w:r>
    </w:p>
    <w:p w14:paraId="6F054D2E" w14:textId="26AF18AE" w:rsidR="009F2470" w:rsidRDefault="009F2470" w:rsidP="009F2470">
      <w:pPr>
        <w:rPr>
          <w:i/>
          <w:iCs/>
        </w:rPr>
      </w:pPr>
      <w:r w:rsidRPr="009F2470">
        <w:rPr>
          <w:i/>
          <w:iCs/>
        </w:rPr>
        <w:t>IP 273, Total acidity in aviation turbine fu</w:t>
      </w:r>
      <w:r>
        <w:rPr>
          <w:i/>
          <w:iCs/>
        </w:rPr>
        <w:t>el</w:t>
      </w:r>
    </w:p>
    <w:p w14:paraId="7D511C01" w14:textId="1F0875F4" w:rsidR="00EC4B78" w:rsidRDefault="00A54F9C" w:rsidP="004871EF">
      <w:pPr>
        <w:pStyle w:val="Heading1"/>
      </w:pPr>
      <w:r w:rsidRPr="008227B3">
        <w:rPr>
          <w:rFonts w:cs="Arial"/>
          <w:bCs/>
          <w:sz w:val="18"/>
          <w:szCs w:val="18"/>
        </w:rPr>
        <w:t>ISO 1998-1, Petroleum industry — Terminology — Part 1: Raw materials and products</w:t>
      </w:r>
      <w:bookmarkStart w:id="11" w:name="_Toc443461094"/>
      <w:bookmarkStart w:id="12" w:name="_Toc443470363"/>
      <w:bookmarkStart w:id="13" w:name="_Toc450303213"/>
      <w:bookmarkStart w:id="14" w:name="_Toc101337843"/>
      <w:r w:rsidR="00E72890">
        <w:t>3</w:t>
      </w:r>
      <w:r w:rsidR="00EC4B78">
        <w:tab/>
        <w:t>Terms and definitions</w:t>
      </w:r>
      <w:bookmarkEnd w:id="11"/>
      <w:bookmarkEnd w:id="12"/>
      <w:bookmarkEnd w:id="13"/>
      <w:bookmarkEnd w:id="14"/>
      <w:r w:rsidR="006035A4">
        <w:t xml:space="preserve"> </w:t>
      </w:r>
    </w:p>
    <w:p w14:paraId="6FF10449" w14:textId="77777777" w:rsidR="00367034" w:rsidRDefault="00367034" w:rsidP="008B6906">
      <w:pPr>
        <w:rPr>
          <w:rStyle w:val="ui-provider"/>
        </w:rPr>
      </w:pPr>
      <w:r>
        <w:rPr>
          <w:rStyle w:val="ui-provider"/>
        </w:rPr>
        <w:t>For the purpose of this document, the terms and definitions given in ISO 1998-1 and the following apply.</w:t>
      </w:r>
    </w:p>
    <w:p w14:paraId="0C195FBD" w14:textId="77777777" w:rsidR="00DA79D7" w:rsidRPr="00975229" w:rsidRDefault="00DA79D7" w:rsidP="008B6906">
      <w:pPr>
        <w:rPr>
          <w:rFonts w:eastAsia="MS Mincho"/>
          <w:lang w:eastAsia="ja-JP"/>
        </w:rPr>
      </w:pPr>
      <w:r w:rsidRPr="00975229">
        <w:rPr>
          <w:rFonts w:eastAsia="MS Mincho"/>
          <w:lang w:eastAsia="ja-JP"/>
        </w:rPr>
        <w:t>ISO and IEC maintain terminological databases for use in standardization at the following addresses:</w:t>
      </w:r>
    </w:p>
    <w:p w14:paraId="447A8577" w14:textId="77777777" w:rsidR="00DA79D7" w:rsidRDefault="00DA79D7" w:rsidP="008502BA">
      <w:pPr>
        <w:rPr>
          <w:rFonts w:eastAsia="MS Mincho"/>
          <w:lang w:eastAsia="ja-JP"/>
        </w:rPr>
      </w:pPr>
      <w:r w:rsidRPr="00E72890">
        <w:rPr>
          <w:rFonts w:eastAsia="MS Mincho"/>
          <w:lang w:eastAsia="ja-JP"/>
        </w:rPr>
        <w:t xml:space="preserve">ISO Online browsing platform: available at </w:t>
      </w:r>
      <w:hyperlink r:id="rId20" w:history="1">
        <w:r w:rsidRPr="005126A7">
          <w:rPr>
            <w:rFonts w:eastAsia="MS Mincho"/>
            <w:color w:val="0000FF"/>
            <w:u w:val="single"/>
            <w:lang w:eastAsia="ja-JP"/>
          </w:rPr>
          <w:t>http://www.iso.org/obp</w:t>
        </w:r>
      </w:hyperlink>
    </w:p>
    <w:p w14:paraId="014466F1" w14:textId="77777777" w:rsidR="009F2470" w:rsidRPr="00C9210E" w:rsidRDefault="009F2470" w:rsidP="009F2470">
      <w:pPr>
        <w:pStyle w:val="TermNum"/>
        <w:rPr>
          <w:rFonts w:eastAsia="MS Mincho"/>
          <w:lang w:eastAsia="ja-JP"/>
        </w:rPr>
      </w:pPr>
      <w:r w:rsidRPr="00C9210E">
        <w:rPr>
          <w:rFonts w:eastAsia="MS Mincho"/>
          <w:lang w:eastAsia="ja-JP"/>
        </w:rPr>
        <w:t>3.1</w:t>
      </w:r>
    </w:p>
    <w:p w14:paraId="0B3C0383" w14:textId="77777777" w:rsidR="00F6754A" w:rsidRPr="00F6754A" w:rsidRDefault="009F2470" w:rsidP="001A4B0C">
      <w:pPr>
        <w:pStyle w:val="Definition"/>
        <w:rPr>
          <w:b/>
          <w:bCs/>
        </w:rPr>
      </w:pPr>
      <w:r w:rsidRPr="00F6754A">
        <w:rPr>
          <w:b/>
          <w:bCs/>
        </w:rPr>
        <w:t xml:space="preserve">bloom </w:t>
      </w:r>
    </w:p>
    <w:p w14:paraId="0EA22045" w14:textId="704FB936" w:rsidR="00AB4484" w:rsidRDefault="009F2470" w:rsidP="001A4B0C">
      <w:pPr>
        <w:pStyle w:val="Definition"/>
      </w:pPr>
      <w:r>
        <w:t xml:space="preserve">fluorescence of a petroleum product when viewed by reflected </w:t>
      </w:r>
      <w:r w:rsidR="00F6754A">
        <w:t xml:space="preserve">daylight </w:t>
      </w:r>
    </w:p>
    <w:p w14:paraId="75D5242A" w14:textId="11438F93" w:rsidR="00367034" w:rsidRPr="00395F3B" w:rsidRDefault="00367034" w:rsidP="00367034">
      <w:pPr>
        <w:jc w:val="left"/>
        <w:rPr>
          <w:rFonts w:eastAsia="MS Mincho"/>
        </w:rPr>
      </w:pPr>
    </w:p>
    <w:p w14:paraId="6AE928F7" w14:textId="2EEE309C" w:rsidR="00AB4484" w:rsidRPr="00AB4484" w:rsidRDefault="00AB4484" w:rsidP="001A4B0C">
      <w:pPr>
        <w:pStyle w:val="TermNum"/>
        <w:rPr>
          <w:rFonts w:eastAsia="MS Mincho"/>
          <w:lang w:eastAsia="ja-JP"/>
        </w:rPr>
      </w:pPr>
      <w:r w:rsidRPr="00AB4484">
        <w:rPr>
          <w:rFonts w:eastAsia="MS Mincho"/>
          <w:lang w:eastAsia="ja-JP"/>
        </w:rPr>
        <w:t>3.</w:t>
      </w:r>
      <w:r w:rsidR="00F6754A">
        <w:rPr>
          <w:rFonts w:eastAsia="MS Mincho"/>
          <w:lang w:eastAsia="ja-JP"/>
        </w:rPr>
        <w:t>3</w:t>
      </w:r>
    </w:p>
    <w:p w14:paraId="6D441B48" w14:textId="77777777" w:rsidR="00F6754A" w:rsidRDefault="00F6754A" w:rsidP="00F6754A">
      <w:pPr>
        <w:rPr>
          <w:rFonts w:eastAsia="MS Mincho"/>
          <w:b/>
          <w:lang w:eastAsia="ja-JP"/>
        </w:rPr>
      </w:pPr>
      <w:r w:rsidRPr="00F6754A">
        <w:rPr>
          <w:rFonts w:eastAsia="MS Mincho"/>
          <w:b/>
          <w:lang w:eastAsia="ja-JP"/>
        </w:rPr>
        <w:t xml:space="preserve">copper strip test </w:t>
      </w:r>
    </w:p>
    <w:p w14:paraId="1D792E88" w14:textId="5AC5B1D5" w:rsidR="00F6754A" w:rsidRPr="00F6754A" w:rsidRDefault="00F6754A" w:rsidP="00F6754A">
      <w:pPr>
        <w:rPr>
          <w:rFonts w:eastAsia="MS Mincho"/>
        </w:rPr>
      </w:pPr>
      <w:r w:rsidRPr="00F6754A">
        <w:rPr>
          <w:rFonts w:eastAsia="MS Mincho"/>
        </w:rPr>
        <w:t>method intended to evaluate the corrosive tendencies of a product with respect to coppe</w:t>
      </w:r>
      <w:r>
        <w:rPr>
          <w:rFonts w:eastAsia="MS Mincho"/>
        </w:rPr>
        <w:t>r</w:t>
      </w:r>
    </w:p>
    <w:p w14:paraId="4C24D13E" w14:textId="73A2A49B" w:rsidR="00AB4484" w:rsidRPr="00AB4484" w:rsidRDefault="00AB4484" w:rsidP="001A4B0C">
      <w:pPr>
        <w:pStyle w:val="TermNum"/>
        <w:rPr>
          <w:rFonts w:eastAsia="MS Mincho"/>
          <w:lang w:eastAsia="ja-JP"/>
        </w:rPr>
      </w:pPr>
      <w:r w:rsidRPr="00AB4484">
        <w:rPr>
          <w:rFonts w:eastAsia="MS Mincho"/>
          <w:lang w:eastAsia="ja-JP"/>
        </w:rPr>
        <w:t>3.</w:t>
      </w:r>
      <w:r w:rsidR="00F6754A">
        <w:rPr>
          <w:rFonts w:eastAsia="MS Mincho"/>
          <w:lang w:eastAsia="ja-JP"/>
        </w:rPr>
        <w:t>4</w:t>
      </w:r>
      <w:r w:rsidRPr="00AB4484">
        <w:rPr>
          <w:rFonts w:eastAsia="MS Mincho"/>
          <w:lang w:eastAsia="ja-JP"/>
        </w:rPr>
        <w:t xml:space="preserve"> </w:t>
      </w:r>
    </w:p>
    <w:p w14:paraId="75192064" w14:textId="7A29F1B1" w:rsidR="00F6754A" w:rsidRPr="00F6754A" w:rsidRDefault="00F6754A" w:rsidP="00F6754A">
      <w:pPr>
        <w:pStyle w:val="TermNum"/>
        <w:rPr>
          <w:rFonts w:eastAsia="MS Mincho"/>
          <w:lang w:eastAsia="ja-JP"/>
        </w:rPr>
      </w:pPr>
      <w:r w:rsidRPr="00F6754A">
        <w:rPr>
          <w:rFonts w:eastAsia="MS Mincho"/>
          <w:lang w:eastAsia="ja-JP"/>
        </w:rPr>
        <w:t>final boiling point (end point)</w:t>
      </w:r>
    </w:p>
    <w:p w14:paraId="5FFC87B3" w14:textId="77777777" w:rsidR="00F6754A" w:rsidRPr="00F6754A" w:rsidRDefault="00F6754A" w:rsidP="00F6754A">
      <w:pPr>
        <w:pStyle w:val="TermNum"/>
        <w:rPr>
          <w:rFonts w:eastAsia="MS Mincho"/>
          <w:b w:val="0"/>
          <w:bCs/>
          <w:lang w:eastAsia="ja-JP"/>
        </w:rPr>
      </w:pPr>
      <w:r w:rsidRPr="00F6754A">
        <w:rPr>
          <w:rFonts w:eastAsia="MS Mincho"/>
          <w:b w:val="0"/>
          <w:bCs/>
          <w:lang w:eastAsia="ja-JP"/>
        </w:rPr>
        <w:t xml:space="preserve">maximum temperature reading noted (corrected if required) during the final phase of a distillation carried </w:t>
      </w:r>
    </w:p>
    <w:p w14:paraId="75EEC31A" w14:textId="77777777" w:rsidR="00F6754A" w:rsidRDefault="00F6754A" w:rsidP="00F6754A">
      <w:pPr>
        <w:pStyle w:val="TermNum"/>
        <w:rPr>
          <w:rFonts w:eastAsia="MS Mincho"/>
          <w:lang w:eastAsia="ja-JP"/>
        </w:rPr>
      </w:pPr>
      <w:r w:rsidRPr="00F6754A">
        <w:rPr>
          <w:rFonts w:eastAsia="MS Mincho"/>
          <w:b w:val="0"/>
          <w:bCs/>
          <w:lang w:eastAsia="ja-JP"/>
        </w:rPr>
        <w:t>out under standardized conditions</w:t>
      </w:r>
      <w:r w:rsidRPr="00F6754A">
        <w:rPr>
          <w:rFonts w:eastAsia="MS Mincho"/>
          <w:lang w:eastAsia="ja-JP"/>
        </w:rPr>
        <w:t>.</w:t>
      </w:r>
    </w:p>
    <w:p w14:paraId="0260EF07" w14:textId="77777777" w:rsidR="00F6754A" w:rsidRPr="00F6754A" w:rsidRDefault="00F6754A" w:rsidP="00F6754A">
      <w:pPr>
        <w:pStyle w:val="Terms"/>
        <w:rPr>
          <w:lang w:eastAsia="ja-JP"/>
        </w:rPr>
      </w:pPr>
    </w:p>
    <w:p w14:paraId="63BFBDEB" w14:textId="77777777" w:rsidR="00F6754A" w:rsidRPr="00F6754A" w:rsidRDefault="00F6754A" w:rsidP="00F6754A">
      <w:pPr>
        <w:pStyle w:val="TermNum"/>
        <w:rPr>
          <w:rFonts w:eastAsia="MS Mincho"/>
          <w:b w:val="0"/>
          <w:bCs/>
          <w:lang w:eastAsia="ja-JP"/>
        </w:rPr>
      </w:pPr>
      <w:r w:rsidRPr="00F6754A">
        <w:rPr>
          <w:rFonts w:eastAsia="MS Mincho"/>
          <w:b w:val="0"/>
          <w:bCs/>
          <w:lang w:eastAsia="ja-JP"/>
        </w:rPr>
        <w:t>NOTES – 1 This usually occurs after the evaporation of all liquid from the bottom of the tank.</w:t>
      </w:r>
    </w:p>
    <w:p w14:paraId="6357C77F" w14:textId="77777777" w:rsidR="00F6754A" w:rsidRDefault="00F6754A" w:rsidP="00F6754A">
      <w:pPr>
        <w:pStyle w:val="TermNum"/>
        <w:rPr>
          <w:rFonts w:eastAsia="MS Mincho"/>
          <w:lang w:eastAsia="ja-JP"/>
        </w:rPr>
      </w:pPr>
      <w:r w:rsidRPr="00F6754A">
        <w:rPr>
          <w:rFonts w:eastAsia="MS Mincho"/>
          <w:b w:val="0"/>
          <w:bCs/>
          <w:lang w:eastAsia="ja-JP"/>
        </w:rPr>
        <w:t xml:space="preserve"> </w:t>
      </w:r>
      <w:r w:rsidRPr="00F6754A">
        <w:rPr>
          <w:rFonts w:eastAsia="MS Mincho"/>
          <w:b w:val="0"/>
          <w:bCs/>
          <w:lang w:eastAsia="ja-JP"/>
        </w:rPr>
        <w:tab/>
      </w:r>
      <w:r w:rsidRPr="00F6754A">
        <w:rPr>
          <w:rFonts w:eastAsia="MS Mincho"/>
          <w:b w:val="0"/>
          <w:bCs/>
          <w:lang w:eastAsia="ja-JP"/>
        </w:rPr>
        <w:tab/>
        <w:t xml:space="preserve">  2 The thermometer reading may be corrected for barometric pressure.</w:t>
      </w:r>
      <w:r w:rsidRPr="00F6754A">
        <w:rPr>
          <w:rFonts w:eastAsia="MS Mincho"/>
          <w:lang w:eastAsia="ja-JP"/>
        </w:rPr>
        <w:t xml:space="preserve"> </w:t>
      </w:r>
    </w:p>
    <w:p w14:paraId="702D8541" w14:textId="566355E7" w:rsidR="00AB4484" w:rsidRPr="00AB4484" w:rsidRDefault="00AB4484" w:rsidP="00F6754A">
      <w:pPr>
        <w:pStyle w:val="TermNum"/>
        <w:rPr>
          <w:rFonts w:eastAsia="MS Mincho"/>
          <w:lang w:eastAsia="ja-JP"/>
        </w:rPr>
      </w:pPr>
      <w:r w:rsidRPr="00AB4484">
        <w:rPr>
          <w:rFonts w:eastAsia="MS Mincho"/>
          <w:lang w:eastAsia="ja-JP"/>
        </w:rPr>
        <w:t>3.</w:t>
      </w:r>
      <w:r w:rsidR="004F0A56">
        <w:rPr>
          <w:rFonts w:eastAsia="MS Mincho"/>
          <w:lang w:eastAsia="ja-JP"/>
        </w:rPr>
        <w:t>5</w:t>
      </w:r>
    </w:p>
    <w:p w14:paraId="7C9616D2" w14:textId="77777777" w:rsidR="004F0A56" w:rsidRDefault="004F0A56" w:rsidP="004F0A56">
      <w:pPr>
        <w:pStyle w:val="Definition"/>
        <w:rPr>
          <w:rFonts w:eastAsia="MS Mincho"/>
          <w:b/>
          <w:lang w:eastAsia="ja-JP"/>
        </w:rPr>
      </w:pPr>
      <w:r w:rsidRPr="004F0A56">
        <w:rPr>
          <w:rFonts w:eastAsia="MS Mincho"/>
          <w:b/>
          <w:lang w:eastAsia="ja-JP"/>
        </w:rPr>
        <w:t xml:space="preserve">flash point </w:t>
      </w:r>
    </w:p>
    <w:p w14:paraId="486133E7" w14:textId="78B76557" w:rsidR="004F0A56" w:rsidRPr="004F0A56" w:rsidRDefault="004F0A56" w:rsidP="004F0A56">
      <w:pPr>
        <w:rPr>
          <w:rFonts w:eastAsia="MS Mincho"/>
        </w:rPr>
      </w:pPr>
      <w:r w:rsidRPr="004F0A56">
        <w:rPr>
          <w:rFonts w:eastAsia="MS Mincho"/>
        </w:rPr>
        <w:t>minimum temperature to which a product must be heated for the vapour emitted to ignite momentarily in the presence of a flame, when operating under standardized conditions.</w:t>
      </w:r>
    </w:p>
    <w:p w14:paraId="4DBFD995" w14:textId="2061312D" w:rsidR="00AB4484" w:rsidRPr="00AB4484" w:rsidRDefault="00AB4484" w:rsidP="001A4B0C">
      <w:pPr>
        <w:pStyle w:val="TermNum"/>
        <w:rPr>
          <w:rFonts w:eastAsia="MS Mincho"/>
          <w:lang w:eastAsia="ja-JP"/>
        </w:rPr>
      </w:pPr>
      <w:r w:rsidRPr="00AB4484">
        <w:rPr>
          <w:rFonts w:eastAsia="MS Mincho"/>
          <w:lang w:eastAsia="ja-JP"/>
        </w:rPr>
        <w:t>3.</w:t>
      </w:r>
      <w:r w:rsidR="004F0A56">
        <w:rPr>
          <w:rFonts w:eastAsia="MS Mincho"/>
          <w:lang w:eastAsia="ja-JP"/>
        </w:rPr>
        <w:t>6</w:t>
      </w:r>
      <w:r w:rsidRPr="00AB4484">
        <w:rPr>
          <w:rFonts w:eastAsia="MS Mincho"/>
          <w:lang w:eastAsia="ja-JP"/>
        </w:rPr>
        <w:t xml:space="preserve"> </w:t>
      </w:r>
    </w:p>
    <w:p w14:paraId="355D2FC0" w14:textId="77777777" w:rsidR="004F0A56" w:rsidRDefault="004F0A56" w:rsidP="001A4B0C">
      <w:pPr>
        <w:pStyle w:val="Definition"/>
        <w:rPr>
          <w:rFonts w:eastAsia="MS Mincho"/>
          <w:b/>
          <w:lang w:eastAsia="ja-JP"/>
        </w:rPr>
      </w:pPr>
      <w:r w:rsidRPr="004F0A56">
        <w:rPr>
          <w:rFonts w:eastAsia="MS Mincho"/>
          <w:b/>
          <w:lang w:eastAsia="ja-JP"/>
        </w:rPr>
        <w:t xml:space="preserve">initial boiling point </w:t>
      </w:r>
    </w:p>
    <w:p w14:paraId="5D58E94F" w14:textId="67E7AC14" w:rsidR="00AB4484" w:rsidRPr="00AB4484" w:rsidRDefault="004F0A56" w:rsidP="001A4B0C">
      <w:pPr>
        <w:pStyle w:val="TermNum"/>
        <w:rPr>
          <w:rFonts w:eastAsia="MS Mincho"/>
          <w:lang w:eastAsia="ja-JP"/>
        </w:rPr>
      </w:pPr>
      <w:r w:rsidRPr="004F0A56">
        <w:rPr>
          <w:rFonts w:eastAsia="MS Mincho"/>
        </w:rPr>
        <w:lastRenderedPageBreak/>
        <w:t>temperature reading noted (corrected if required) at the moment when the first drop of condensate fall.</w:t>
      </w:r>
      <w:r w:rsidR="00AB4484" w:rsidRPr="00AB4484">
        <w:rPr>
          <w:rFonts w:eastAsia="MS Mincho"/>
          <w:lang w:eastAsia="ja-JP"/>
        </w:rPr>
        <w:t>3.</w:t>
      </w:r>
      <w:r>
        <w:rPr>
          <w:rFonts w:eastAsia="MS Mincho"/>
          <w:lang w:eastAsia="ja-JP"/>
        </w:rPr>
        <w:t>7</w:t>
      </w:r>
      <w:r w:rsidR="00AB4484" w:rsidRPr="00AB4484">
        <w:rPr>
          <w:rFonts w:eastAsia="MS Mincho"/>
          <w:lang w:eastAsia="ja-JP"/>
        </w:rPr>
        <w:t xml:space="preserve"> </w:t>
      </w:r>
    </w:p>
    <w:p w14:paraId="2B84CB9C" w14:textId="151BAC23" w:rsidR="004F0A56" w:rsidRDefault="007F659E" w:rsidP="001A4B0C">
      <w:pPr>
        <w:pStyle w:val="Definition"/>
        <w:rPr>
          <w:rFonts w:eastAsia="MS Mincho"/>
          <w:b/>
          <w:lang w:eastAsia="ja-JP"/>
        </w:rPr>
      </w:pPr>
      <w:r>
        <w:rPr>
          <w:rFonts w:eastAsia="MS Mincho"/>
          <w:b/>
          <w:lang w:eastAsia="ja-JP"/>
        </w:rPr>
        <w:t xml:space="preserve">Illuminating </w:t>
      </w:r>
      <w:r w:rsidR="004F0A56" w:rsidRPr="004F0A56">
        <w:rPr>
          <w:rFonts w:eastAsia="MS Mincho"/>
          <w:b/>
          <w:lang w:eastAsia="ja-JP"/>
        </w:rPr>
        <w:t xml:space="preserve">Kerosene </w:t>
      </w:r>
    </w:p>
    <w:p w14:paraId="2FE1E05D" w14:textId="77777777" w:rsidR="007F659E" w:rsidRDefault="007F659E" w:rsidP="004F0A56">
      <w:pPr>
        <w:rPr>
          <w:rFonts w:cs="Arial"/>
          <w:bCs/>
          <w:sz w:val="18"/>
          <w:szCs w:val="18"/>
        </w:rPr>
      </w:pPr>
      <w:r w:rsidRPr="00507E6F">
        <w:rPr>
          <w:rFonts w:cs="Arial"/>
          <w:bCs/>
          <w:sz w:val="18"/>
          <w:szCs w:val="18"/>
        </w:rPr>
        <w:t>distilled fraction having a volatility intermediate between that of gasoline and automotive gas oil, with a flash point above 38 ˚C. It is designed for use in domestic, commercial and industrial</w:t>
      </w:r>
      <w:r>
        <w:rPr>
          <w:rFonts w:cs="Arial"/>
          <w:bCs/>
          <w:sz w:val="18"/>
          <w:szCs w:val="18"/>
        </w:rPr>
        <w:t xml:space="preserve"> applications</w:t>
      </w:r>
    </w:p>
    <w:p w14:paraId="2E792312" w14:textId="3F604229" w:rsidR="00A54F9C" w:rsidRDefault="00A54F9C" w:rsidP="007F659E">
      <w:pPr>
        <w:rPr>
          <w:rFonts w:eastAsia="MS Mincho"/>
        </w:rPr>
      </w:pPr>
    </w:p>
    <w:p w14:paraId="5E51EBFB" w14:textId="77777777" w:rsidR="004F0A56" w:rsidRPr="004F0A56" w:rsidRDefault="004F0A56" w:rsidP="004F0A56">
      <w:pPr>
        <w:rPr>
          <w:rFonts w:eastAsia="MS Mincho"/>
          <w:b/>
          <w:bCs/>
        </w:rPr>
      </w:pPr>
      <w:r w:rsidRPr="004F0A56">
        <w:rPr>
          <w:rFonts w:eastAsia="MS Mincho"/>
          <w:b/>
          <w:bCs/>
        </w:rPr>
        <w:t xml:space="preserve">3.8 </w:t>
      </w:r>
    </w:p>
    <w:p w14:paraId="6E7B6CC9" w14:textId="124AE578" w:rsidR="004F0A56" w:rsidRPr="004F0A56" w:rsidRDefault="004F0A56" w:rsidP="004F0A56">
      <w:pPr>
        <w:rPr>
          <w:rFonts w:eastAsia="MS Mincho"/>
          <w:b/>
          <w:bCs/>
        </w:rPr>
      </w:pPr>
      <w:r w:rsidRPr="004F0A56">
        <w:rPr>
          <w:rFonts w:eastAsia="MS Mincho"/>
          <w:b/>
          <w:bCs/>
        </w:rPr>
        <w:t>smoke point</w:t>
      </w:r>
    </w:p>
    <w:p w14:paraId="100940B3" w14:textId="77777777" w:rsidR="004F0A56" w:rsidRPr="004F0A56" w:rsidRDefault="004F0A56" w:rsidP="004F0A56">
      <w:pPr>
        <w:rPr>
          <w:rFonts w:eastAsia="MS Mincho"/>
        </w:rPr>
      </w:pPr>
      <w:r w:rsidRPr="004F0A56">
        <w:rPr>
          <w:rFonts w:eastAsia="MS Mincho"/>
        </w:rPr>
        <w:t xml:space="preserve">maximum height (in millimeters) of flame that can be obtained without smoking when a petroleum </w:t>
      </w:r>
    </w:p>
    <w:p w14:paraId="4E03D93C" w14:textId="77777777" w:rsidR="004F0A56" w:rsidRPr="004F0A56" w:rsidRDefault="004F0A56" w:rsidP="004F0A56">
      <w:pPr>
        <w:rPr>
          <w:rFonts w:eastAsia="MS Mincho"/>
        </w:rPr>
      </w:pPr>
      <w:r w:rsidRPr="004F0A56">
        <w:rPr>
          <w:rFonts w:eastAsia="MS Mincho"/>
        </w:rPr>
        <w:t>distillate is burned in a standardized lamp under standardized conditions.</w:t>
      </w:r>
    </w:p>
    <w:p w14:paraId="6995AC1F" w14:textId="77777777" w:rsidR="004F0A56" w:rsidRPr="004F0A56" w:rsidRDefault="004F0A56" w:rsidP="004F0A56">
      <w:pPr>
        <w:rPr>
          <w:rFonts w:eastAsia="MS Mincho"/>
          <w:b/>
          <w:bCs/>
        </w:rPr>
      </w:pPr>
      <w:r w:rsidRPr="004F0A56">
        <w:rPr>
          <w:rFonts w:eastAsia="MS Mincho"/>
          <w:b/>
          <w:bCs/>
        </w:rPr>
        <w:t xml:space="preserve">3.9 </w:t>
      </w:r>
    </w:p>
    <w:p w14:paraId="04B1B435" w14:textId="5910839B" w:rsidR="004F0A56" w:rsidRPr="004F0A56" w:rsidRDefault="004F0A56" w:rsidP="004F0A56">
      <w:pPr>
        <w:rPr>
          <w:rFonts w:eastAsia="MS Mincho"/>
          <w:b/>
          <w:bCs/>
        </w:rPr>
      </w:pPr>
      <w:r w:rsidRPr="004F0A56">
        <w:rPr>
          <w:rFonts w:eastAsia="MS Mincho"/>
          <w:b/>
          <w:bCs/>
        </w:rPr>
        <w:t>Visual appearance</w:t>
      </w:r>
    </w:p>
    <w:p w14:paraId="305B0DD3" w14:textId="77777777" w:rsidR="004F0A56" w:rsidRPr="004F0A56" w:rsidRDefault="004F0A56" w:rsidP="004F0A56">
      <w:pPr>
        <w:rPr>
          <w:rFonts w:eastAsia="MS Mincho"/>
        </w:rPr>
      </w:pPr>
      <w:r w:rsidRPr="004F0A56">
        <w:rPr>
          <w:rFonts w:eastAsia="MS Mincho"/>
        </w:rPr>
        <w:t>as assessment of a product in terms of its color and clarity, without artificial aids.</w:t>
      </w:r>
    </w:p>
    <w:p w14:paraId="302E36D0" w14:textId="77777777" w:rsidR="004F0A56" w:rsidRPr="004F0A56" w:rsidRDefault="004F0A56" w:rsidP="004F0A56">
      <w:pPr>
        <w:rPr>
          <w:rFonts w:eastAsia="MS Mincho"/>
        </w:rPr>
      </w:pPr>
      <w:r w:rsidRPr="004F0A56">
        <w:rPr>
          <w:rFonts w:eastAsia="MS Mincho"/>
        </w:rPr>
        <w:t xml:space="preserve">NOTES – 1. It includes the presence or absence of undissolved water or wax in terms of their haze </w:t>
      </w:r>
    </w:p>
    <w:p w14:paraId="77F99743" w14:textId="77777777" w:rsidR="004F0A56" w:rsidRPr="004F0A56" w:rsidRDefault="004F0A56" w:rsidP="004F0A56">
      <w:pPr>
        <w:rPr>
          <w:rFonts w:eastAsia="MS Mincho"/>
        </w:rPr>
      </w:pPr>
      <w:r w:rsidRPr="004F0A56">
        <w:rPr>
          <w:rFonts w:eastAsia="MS Mincho"/>
        </w:rPr>
        <w:t>potential and the presence or absence of adventitious particulate matter.</w:t>
      </w:r>
    </w:p>
    <w:p w14:paraId="3EC53B00" w14:textId="6AD6E420" w:rsidR="004F0A56" w:rsidRDefault="004F0A56" w:rsidP="004F0A56">
      <w:pPr>
        <w:ind w:left="403" w:firstLine="403"/>
        <w:rPr>
          <w:rFonts w:eastAsia="MS Mincho"/>
        </w:rPr>
      </w:pPr>
      <w:r w:rsidRPr="004F0A56">
        <w:rPr>
          <w:rFonts w:eastAsia="MS Mincho"/>
        </w:rPr>
        <w:t>2. Has rate scales are sometimes used as an addition to visual appearance.</w:t>
      </w:r>
    </w:p>
    <w:p w14:paraId="164FCB23" w14:textId="3D4EA0DA" w:rsidR="007F659E" w:rsidRPr="00507E6F" w:rsidRDefault="00D73443" w:rsidP="008D0396">
      <w:pPr>
        <w:keepLines/>
        <w:spacing w:before="100" w:after="60" w:line="190" w:lineRule="exact"/>
        <w:rPr>
          <w:rFonts w:cs="Arial"/>
          <w:b/>
          <w:sz w:val="18"/>
          <w:szCs w:val="18"/>
        </w:rPr>
      </w:pPr>
      <w:r>
        <w:rPr>
          <w:rFonts w:cs="Arial"/>
          <w:b/>
          <w:sz w:val="18"/>
          <w:szCs w:val="18"/>
        </w:rPr>
        <w:t xml:space="preserve">3.10 </w:t>
      </w:r>
      <w:r w:rsidR="007F659E" w:rsidRPr="00507E6F">
        <w:rPr>
          <w:rFonts w:cs="Arial"/>
          <w:b/>
          <w:sz w:val="18"/>
          <w:szCs w:val="18"/>
        </w:rPr>
        <w:t>Marker:</w:t>
      </w:r>
    </w:p>
    <w:p w14:paraId="7E67431F" w14:textId="3528CF00" w:rsidR="00D73443" w:rsidRDefault="00D95CE0" w:rsidP="00D95CE0">
      <w:pPr>
        <w:rPr>
          <w:rFonts w:cs="Arial"/>
          <w:bCs/>
          <w:sz w:val="18"/>
          <w:szCs w:val="18"/>
        </w:rPr>
      </w:pPr>
      <w:r w:rsidRPr="00507E6F">
        <w:rPr>
          <w:rFonts w:cs="Arial"/>
          <w:bCs/>
          <w:sz w:val="18"/>
          <w:szCs w:val="18"/>
        </w:rPr>
        <w:t xml:space="preserve">chemical substances introduced into </w:t>
      </w:r>
      <w:r w:rsidR="00D73443">
        <w:rPr>
          <w:rFonts w:cs="Arial"/>
          <w:bCs/>
          <w:sz w:val="18"/>
          <w:szCs w:val="18"/>
        </w:rPr>
        <w:t>kerosene</w:t>
      </w:r>
      <w:r w:rsidRPr="00507E6F">
        <w:rPr>
          <w:rFonts w:cs="Arial"/>
          <w:bCs/>
          <w:sz w:val="18"/>
          <w:szCs w:val="18"/>
        </w:rPr>
        <w:t xml:space="preserve"> for identification, traceability</w:t>
      </w:r>
      <w:r w:rsidR="00D73443">
        <w:rPr>
          <w:rFonts w:cs="Arial"/>
          <w:bCs/>
          <w:sz w:val="18"/>
          <w:szCs w:val="18"/>
        </w:rPr>
        <w:t xml:space="preserve"> and </w:t>
      </w:r>
      <w:r w:rsidRPr="00507E6F">
        <w:rPr>
          <w:rFonts w:cs="Arial"/>
          <w:bCs/>
          <w:sz w:val="18"/>
          <w:szCs w:val="18"/>
        </w:rPr>
        <w:t xml:space="preserve">regulation </w:t>
      </w:r>
      <w:r w:rsidR="00D73443">
        <w:rPr>
          <w:rFonts w:cs="Arial"/>
          <w:bCs/>
          <w:sz w:val="18"/>
          <w:szCs w:val="18"/>
        </w:rPr>
        <w:t>without altering their properties.</w:t>
      </w:r>
    </w:p>
    <w:p w14:paraId="6876E3C6" w14:textId="5AF3FEE1" w:rsidR="00C878A5" w:rsidRPr="008D0396" w:rsidRDefault="00C878A5" w:rsidP="008D0396">
      <w:pPr>
        <w:rPr>
          <w:rFonts w:cs="Arial"/>
          <w:bCs/>
          <w:sz w:val="18"/>
          <w:szCs w:val="18"/>
        </w:rPr>
      </w:pPr>
      <w:bookmarkStart w:id="15" w:name="_Hlk166665404"/>
      <w:r>
        <w:rPr>
          <w:rFonts w:cs="Arial"/>
          <w:bCs/>
          <w:sz w:val="18"/>
          <w:szCs w:val="18"/>
        </w:rPr>
        <w:t>3.11</w:t>
      </w:r>
    </w:p>
    <w:p w14:paraId="340D0490" w14:textId="77777777" w:rsidR="00C878A5" w:rsidRDefault="00C878A5" w:rsidP="00C878A5">
      <w:pPr>
        <w:spacing w:after="0" w:line="249" w:lineRule="auto"/>
        <w:ind w:left="-5" w:right="51" w:hanging="10"/>
      </w:pPr>
      <w:r w:rsidRPr="00273315">
        <w:rPr>
          <w:rStyle w:val="ui-provider"/>
        </w:rPr>
        <w:t>portable containers are freight containers designed for intermodal transportation that is; land, sea, or air. There are various dimensions and classifications for these containers, making them interchangeable and stackable for efficient global trade.</w:t>
      </w:r>
    </w:p>
    <w:bookmarkEnd w:id="15"/>
    <w:p w14:paraId="17EE5725" w14:textId="77777777" w:rsidR="00C878A5" w:rsidRDefault="00C878A5" w:rsidP="00D95CE0">
      <w:pPr>
        <w:rPr>
          <w:rFonts w:cs="Arial"/>
          <w:bCs/>
          <w:sz w:val="18"/>
          <w:szCs w:val="18"/>
        </w:rPr>
      </w:pPr>
    </w:p>
    <w:p w14:paraId="3EA0834E" w14:textId="77777777" w:rsidR="00D95CE0" w:rsidRPr="004F0A56" w:rsidRDefault="00D95CE0" w:rsidP="00DC72CB">
      <w:pPr>
        <w:rPr>
          <w:rFonts w:eastAsia="MS Mincho"/>
        </w:rPr>
      </w:pPr>
    </w:p>
    <w:p w14:paraId="0ABD1E6A" w14:textId="77777777" w:rsidR="00DC72CB" w:rsidRPr="004F0A56" w:rsidRDefault="00DC72CB" w:rsidP="008D0396">
      <w:pPr>
        <w:rPr>
          <w:rFonts w:eastAsia="MS Mincho"/>
        </w:rPr>
      </w:pPr>
    </w:p>
    <w:p w14:paraId="20B6F1C8" w14:textId="77777777" w:rsidR="00C9210E" w:rsidRPr="00C9210E" w:rsidRDefault="00C9210E" w:rsidP="00C9210E">
      <w:pPr>
        <w:pStyle w:val="Heading1"/>
        <w:rPr>
          <w:rFonts w:eastAsia="MS Mincho"/>
          <w:lang w:eastAsia="ja-JP"/>
        </w:rPr>
      </w:pPr>
      <w:r w:rsidRPr="00C9210E">
        <w:rPr>
          <w:rFonts w:eastAsia="MS Mincho"/>
          <w:lang w:eastAsia="ja-JP"/>
        </w:rPr>
        <w:t>4</w:t>
      </w:r>
      <w:r w:rsidRPr="00C9210E">
        <w:rPr>
          <w:rFonts w:eastAsia="MS Mincho"/>
          <w:lang w:eastAsia="ja-JP"/>
        </w:rPr>
        <w:tab/>
        <w:t xml:space="preserve">Requirements </w:t>
      </w:r>
    </w:p>
    <w:p w14:paraId="25664D37" w14:textId="012DE0A3" w:rsidR="00C9210E" w:rsidRDefault="00C9210E" w:rsidP="00C9210E">
      <w:pPr>
        <w:pStyle w:val="Heading2"/>
        <w:rPr>
          <w:rFonts w:eastAsia="MS Mincho"/>
          <w:lang w:eastAsia="ja-JP"/>
        </w:rPr>
      </w:pPr>
      <w:r w:rsidRPr="00C9210E">
        <w:rPr>
          <w:rFonts w:eastAsia="MS Mincho"/>
          <w:lang w:eastAsia="ja-JP"/>
        </w:rPr>
        <w:t>4.1</w:t>
      </w:r>
      <w:r>
        <w:rPr>
          <w:rFonts w:eastAsia="MS Mincho"/>
          <w:lang w:eastAsia="ja-JP"/>
        </w:rPr>
        <w:tab/>
      </w:r>
      <w:r w:rsidR="008F5C3D">
        <w:rPr>
          <w:rFonts w:eastAsia="MS Mincho"/>
          <w:lang w:eastAsia="ja-JP"/>
        </w:rPr>
        <w:t>General</w:t>
      </w:r>
      <w:r w:rsidRPr="00C9210E">
        <w:rPr>
          <w:rFonts w:eastAsia="MS Mincho"/>
          <w:lang w:eastAsia="ja-JP"/>
        </w:rPr>
        <w:t xml:space="preserve"> requirements </w:t>
      </w:r>
    </w:p>
    <w:p w14:paraId="3A07643A" w14:textId="1DEC7F80" w:rsidR="00B97BAD" w:rsidRPr="008F5C3D" w:rsidRDefault="008F5C3D" w:rsidP="008F5C3D">
      <w:pPr>
        <w:rPr>
          <w:rFonts w:eastAsia="MS Mincho"/>
          <w:lang w:eastAsia="ja-JP"/>
        </w:rPr>
      </w:pPr>
      <w:r w:rsidRPr="008F5C3D">
        <w:rPr>
          <w:rFonts w:eastAsia="MS Mincho"/>
          <w:b/>
          <w:bCs/>
          <w:lang w:eastAsia="ja-JP"/>
        </w:rPr>
        <w:t>4.1.1</w:t>
      </w:r>
      <w:r w:rsidR="00E175EC">
        <w:rPr>
          <w:rFonts w:cs="Arial"/>
          <w:bCs/>
          <w:sz w:val="18"/>
          <w:szCs w:val="18"/>
        </w:rPr>
        <w:t>I</w:t>
      </w:r>
      <w:r w:rsidR="00E175EC" w:rsidRPr="00507E6F">
        <w:rPr>
          <w:rFonts w:cs="Arial"/>
          <w:bCs/>
          <w:sz w:val="18"/>
          <w:szCs w:val="18"/>
        </w:rPr>
        <w:t>lluminating kerosene shall be a homogeneous mixture of straight chain hydrocarbons derived from petroleum refining.</w:t>
      </w:r>
    </w:p>
    <w:p w14:paraId="57543102" w14:textId="5BCC6EA8" w:rsidR="008F5C3D" w:rsidRDefault="008F5C3D" w:rsidP="009A3F44">
      <w:pPr>
        <w:rPr>
          <w:rFonts w:eastAsia="MS Mincho"/>
          <w:lang w:eastAsia="ja-JP"/>
        </w:rPr>
      </w:pPr>
    </w:p>
    <w:p w14:paraId="71142191" w14:textId="5FF988C7" w:rsidR="00B97BAD" w:rsidRDefault="00B97BAD">
      <w:pPr>
        <w:keepLines/>
        <w:spacing w:before="100" w:after="60" w:line="190" w:lineRule="exact"/>
        <w:jc w:val="left"/>
        <w:rPr>
          <w:rFonts w:cs="Arial"/>
          <w:bCs/>
          <w:sz w:val="18"/>
          <w:szCs w:val="18"/>
        </w:rPr>
      </w:pPr>
      <w:r w:rsidRPr="008227B3">
        <w:rPr>
          <w:rFonts w:cs="Arial"/>
          <w:bCs/>
          <w:sz w:val="18"/>
          <w:szCs w:val="18"/>
        </w:rPr>
        <w:t>NOTE – Additive usage can be established by mutual agreement of the supplier and the purchaser</w:t>
      </w:r>
    </w:p>
    <w:p w14:paraId="5DB5D099" w14:textId="77777777" w:rsidR="00E175EC" w:rsidRPr="008D0396" w:rsidRDefault="00E175EC" w:rsidP="008D0396">
      <w:pPr>
        <w:keepLines/>
        <w:spacing w:before="100" w:after="60" w:line="190" w:lineRule="exact"/>
        <w:jc w:val="left"/>
        <w:rPr>
          <w:rFonts w:cs="Arial"/>
          <w:bCs/>
          <w:sz w:val="18"/>
          <w:szCs w:val="18"/>
        </w:rPr>
      </w:pPr>
    </w:p>
    <w:p w14:paraId="160A1B0B" w14:textId="6B7B1358" w:rsidR="00283A7E" w:rsidRPr="00507E6F" w:rsidRDefault="00283A7E" w:rsidP="00283A7E">
      <w:pPr>
        <w:keepLines/>
        <w:spacing w:before="100" w:after="60" w:line="190" w:lineRule="exact"/>
        <w:jc w:val="left"/>
        <w:rPr>
          <w:rFonts w:cs="Arial"/>
          <w:bCs/>
          <w:sz w:val="18"/>
          <w:szCs w:val="18"/>
        </w:rPr>
      </w:pPr>
      <w:r w:rsidRPr="00507E6F">
        <w:rPr>
          <w:rFonts w:cs="Arial"/>
          <w:bCs/>
          <w:sz w:val="18"/>
          <w:szCs w:val="18"/>
        </w:rPr>
        <w:t>.</w:t>
      </w:r>
    </w:p>
    <w:p w14:paraId="776D3032" w14:textId="77777777" w:rsidR="00A54F9C" w:rsidRPr="00507E6F" w:rsidRDefault="00A54F9C" w:rsidP="008D0396">
      <w:pPr>
        <w:keepLines/>
        <w:spacing w:before="100" w:after="60" w:line="190" w:lineRule="exact"/>
        <w:jc w:val="left"/>
        <w:rPr>
          <w:rFonts w:cs="Arial"/>
          <w:bCs/>
          <w:sz w:val="18"/>
          <w:szCs w:val="18"/>
        </w:rPr>
      </w:pPr>
      <w:r w:rsidRPr="00507E6F">
        <w:rPr>
          <w:rFonts w:cs="Arial"/>
          <w:bCs/>
          <w:sz w:val="18"/>
          <w:szCs w:val="18"/>
        </w:rPr>
        <w:t>4.1.4 It shall possess a characteristic odour</w:t>
      </w:r>
    </w:p>
    <w:p w14:paraId="32DEE7C6" w14:textId="77777777" w:rsidR="00A54F9C" w:rsidRPr="00507E6F" w:rsidRDefault="00A54F9C" w:rsidP="008D0396">
      <w:pPr>
        <w:keepLines/>
        <w:spacing w:before="100" w:after="60" w:line="190" w:lineRule="exact"/>
        <w:jc w:val="left"/>
        <w:rPr>
          <w:rFonts w:cs="Arial"/>
          <w:bCs/>
          <w:sz w:val="18"/>
          <w:szCs w:val="18"/>
        </w:rPr>
      </w:pPr>
    </w:p>
    <w:p w14:paraId="394B260F" w14:textId="2B14E2C1" w:rsidR="00A54F9C" w:rsidRDefault="00A54F9C" w:rsidP="00A54F9C">
      <w:pPr>
        <w:jc w:val="left"/>
        <w:rPr>
          <w:rFonts w:cs="Arial"/>
          <w:bCs/>
          <w:sz w:val="18"/>
          <w:szCs w:val="18"/>
        </w:rPr>
      </w:pPr>
      <w:r w:rsidRPr="00507E6F">
        <w:rPr>
          <w:rFonts w:cs="Arial"/>
          <w:bCs/>
          <w:sz w:val="18"/>
          <w:szCs w:val="18"/>
        </w:rPr>
        <w:t xml:space="preserve">4.1.5 Markers may be added to the kerosene in acceptable concentrations as allowed by the national regulation of the country and shall not alter the performance characteristics of the </w:t>
      </w:r>
      <w:r w:rsidR="004B5C28">
        <w:rPr>
          <w:rFonts w:cs="Arial"/>
          <w:bCs/>
          <w:sz w:val="18"/>
          <w:szCs w:val="18"/>
        </w:rPr>
        <w:t>kerosene</w:t>
      </w:r>
      <w:r w:rsidRPr="00507E6F">
        <w:rPr>
          <w:rFonts w:cs="Arial"/>
          <w:bCs/>
          <w:sz w:val="18"/>
          <w:szCs w:val="18"/>
        </w:rPr>
        <w:t>.</w:t>
      </w:r>
    </w:p>
    <w:p w14:paraId="0E713CC0" w14:textId="77777777" w:rsidR="00995EAE" w:rsidRDefault="00995EAE" w:rsidP="008D0396">
      <w:pPr>
        <w:keepLines/>
        <w:spacing w:before="100" w:after="60" w:line="190" w:lineRule="exact"/>
        <w:jc w:val="left"/>
        <w:rPr>
          <w:rFonts w:cs="Arial"/>
          <w:bCs/>
          <w:sz w:val="18"/>
          <w:szCs w:val="18"/>
        </w:rPr>
      </w:pPr>
    </w:p>
    <w:p w14:paraId="53B89DC0" w14:textId="77777777" w:rsidR="00995EAE" w:rsidRPr="00AE46C5" w:rsidRDefault="00995EAE" w:rsidP="008D0396">
      <w:pPr>
        <w:jc w:val="left"/>
        <w:rPr>
          <w:rFonts w:eastAsia="MS Mincho"/>
          <w:lang w:eastAsia="ja-JP"/>
        </w:rPr>
      </w:pPr>
    </w:p>
    <w:p w14:paraId="17D22FFB" w14:textId="77777777" w:rsidR="00F33B7F" w:rsidRPr="00F33B7F" w:rsidRDefault="00F33B7F" w:rsidP="00F33B7F">
      <w:pPr>
        <w:pStyle w:val="Heading2"/>
      </w:pPr>
      <w:r w:rsidRPr="00F33B7F">
        <w:t>4.2</w:t>
      </w:r>
      <w:r w:rsidRPr="00F33B7F">
        <w:tab/>
        <w:t>Specific requirements</w:t>
      </w:r>
    </w:p>
    <w:p w14:paraId="5E0EF4D6" w14:textId="6C69D6F7" w:rsidR="00F33B7F" w:rsidRDefault="00AE46C5" w:rsidP="00AE46C5">
      <w:pPr>
        <w:spacing w:before="60" w:after="60" w:line="210" w:lineRule="exact"/>
      </w:pPr>
      <w:r>
        <w:rPr>
          <w:rFonts w:eastAsia="MS Mincho"/>
          <w:lang w:eastAsia="ja-JP"/>
        </w:rPr>
        <w:t>The i</w:t>
      </w:r>
      <w:r w:rsidRPr="008F5C3D">
        <w:rPr>
          <w:rFonts w:eastAsia="MS Mincho"/>
          <w:lang w:eastAsia="ja-JP"/>
        </w:rPr>
        <w:t>lluminating kerosene</w:t>
      </w:r>
      <w:r>
        <w:t xml:space="preserve"> shall comply with the requirements given in Table 1 when tested in accordance with the test methods prescribed therein.</w:t>
      </w:r>
    </w:p>
    <w:p w14:paraId="679E21CA" w14:textId="77777777" w:rsidR="002E2E8F" w:rsidRPr="00AE46C5" w:rsidRDefault="002E2E8F" w:rsidP="00AE46C5">
      <w:pPr>
        <w:spacing w:before="60" w:after="60" w:line="210" w:lineRule="exact"/>
        <w:rPr>
          <w:rFonts w:cs="Arial"/>
          <w:sz w:val="18"/>
          <w:szCs w:val="18"/>
        </w:rPr>
      </w:pPr>
    </w:p>
    <w:p w14:paraId="103054C2" w14:textId="6BA20FC0" w:rsidR="00B3593A" w:rsidRPr="00B3593A" w:rsidRDefault="006727CC" w:rsidP="00BE370B">
      <w:pPr>
        <w:pStyle w:val="Tabletitle"/>
      </w:pPr>
      <w:r>
        <w:t xml:space="preserve">Table </w:t>
      </w:r>
      <w:r w:rsidR="00AE46C5">
        <w:t>1</w:t>
      </w:r>
      <w:r>
        <w:t xml:space="preserve"> —</w:t>
      </w:r>
      <w:r w:rsidR="00AE46C5">
        <w:t xml:space="preserve"> </w:t>
      </w:r>
      <w:r w:rsidR="00BE370B">
        <w:t>Specific r</w:t>
      </w:r>
      <w:r w:rsidR="00AE46C5" w:rsidRPr="00AE46C5">
        <w:t xml:space="preserve">equirements for illuminating </w:t>
      </w:r>
      <w:r w:rsidR="00092C1A">
        <w:t>k</w:t>
      </w:r>
      <w:r w:rsidR="00AE46C5" w:rsidRPr="00AE46C5">
        <w:t>eros</w:t>
      </w:r>
      <w:r w:rsidR="00AE46C5">
        <w:t>ene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4166"/>
        <w:gridCol w:w="2492"/>
        <w:gridCol w:w="2492"/>
      </w:tblGrid>
      <w:tr w:rsidR="00AE46C5" w:rsidRPr="00EA3960" w14:paraId="1ED0CEE5" w14:textId="77777777" w:rsidTr="005C5184">
        <w:trPr>
          <w:trHeight w:val="84"/>
        </w:trPr>
        <w:tc>
          <w:tcPr>
            <w:tcW w:w="817" w:type="dxa"/>
            <w:tcBorders>
              <w:top w:val="single" w:sz="12" w:space="0" w:color="auto"/>
              <w:bottom w:val="single" w:sz="12" w:space="0" w:color="auto"/>
            </w:tcBorders>
            <w:shd w:val="clear" w:color="auto" w:fill="auto"/>
          </w:tcPr>
          <w:p w14:paraId="4F80F121" w14:textId="77777777" w:rsidR="00AE46C5" w:rsidRPr="00F077A6" w:rsidRDefault="00AE46C5" w:rsidP="005C5184">
            <w:pPr>
              <w:pStyle w:val="Tabletext9"/>
              <w:jc w:val="center"/>
              <w:rPr>
                <w:b/>
                <w:bCs/>
              </w:rPr>
            </w:pPr>
            <w:r w:rsidRPr="00F077A6">
              <w:rPr>
                <w:b/>
                <w:bCs/>
              </w:rPr>
              <w:t>S/N</w:t>
            </w:r>
          </w:p>
        </w:tc>
        <w:tc>
          <w:tcPr>
            <w:tcW w:w="4166" w:type="dxa"/>
            <w:tcBorders>
              <w:top w:val="single" w:sz="12" w:space="0" w:color="auto"/>
              <w:bottom w:val="single" w:sz="12" w:space="0" w:color="auto"/>
            </w:tcBorders>
            <w:shd w:val="clear" w:color="auto" w:fill="auto"/>
          </w:tcPr>
          <w:p w14:paraId="20AF6D36" w14:textId="77777777" w:rsidR="00AE46C5" w:rsidRPr="00F077A6" w:rsidRDefault="00AE46C5" w:rsidP="005C5184">
            <w:pPr>
              <w:pStyle w:val="Tabletext9"/>
              <w:jc w:val="center"/>
              <w:rPr>
                <w:b/>
                <w:bCs/>
              </w:rPr>
            </w:pPr>
            <w:r w:rsidRPr="00F077A6">
              <w:rPr>
                <w:b/>
                <w:bCs/>
              </w:rPr>
              <w:t>Property</w:t>
            </w:r>
          </w:p>
        </w:tc>
        <w:tc>
          <w:tcPr>
            <w:tcW w:w="2492" w:type="dxa"/>
            <w:tcBorders>
              <w:top w:val="single" w:sz="12" w:space="0" w:color="auto"/>
              <w:bottom w:val="single" w:sz="12" w:space="0" w:color="auto"/>
            </w:tcBorders>
            <w:shd w:val="clear" w:color="auto" w:fill="auto"/>
          </w:tcPr>
          <w:p w14:paraId="04FD6B84" w14:textId="77777777" w:rsidR="00AE46C5" w:rsidRPr="00F077A6" w:rsidRDefault="00AE46C5" w:rsidP="005C5184">
            <w:pPr>
              <w:pStyle w:val="Tabletext9"/>
              <w:jc w:val="center"/>
              <w:rPr>
                <w:b/>
                <w:bCs/>
              </w:rPr>
            </w:pPr>
            <w:r w:rsidRPr="00F077A6">
              <w:rPr>
                <w:b/>
                <w:bCs/>
              </w:rPr>
              <w:t>Requirement</w:t>
            </w:r>
          </w:p>
        </w:tc>
        <w:tc>
          <w:tcPr>
            <w:tcW w:w="2492" w:type="dxa"/>
            <w:tcBorders>
              <w:top w:val="single" w:sz="12" w:space="0" w:color="auto"/>
              <w:bottom w:val="single" w:sz="12" w:space="0" w:color="auto"/>
            </w:tcBorders>
            <w:shd w:val="clear" w:color="auto" w:fill="auto"/>
          </w:tcPr>
          <w:p w14:paraId="09125197" w14:textId="77777777" w:rsidR="00AE46C5" w:rsidRPr="00F077A6" w:rsidRDefault="00AE46C5" w:rsidP="005C5184">
            <w:pPr>
              <w:pStyle w:val="Tabletext9"/>
              <w:jc w:val="center"/>
              <w:rPr>
                <w:b/>
                <w:bCs/>
              </w:rPr>
            </w:pPr>
            <w:r w:rsidRPr="00F077A6">
              <w:rPr>
                <w:b/>
                <w:bCs/>
              </w:rPr>
              <w:t>Test method</w:t>
            </w:r>
          </w:p>
        </w:tc>
      </w:tr>
      <w:tr w:rsidR="00AE46C5" w:rsidRPr="00EA3960" w14:paraId="7E1FD580" w14:textId="77777777" w:rsidTr="005C5184">
        <w:trPr>
          <w:trHeight w:val="233"/>
        </w:trPr>
        <w:tc>
          <w:tcPr>
            <w:tcW w:w="817" w:type="dxa"/>
            <w:tcBorders>
              <w:top w:val="single" w:sz="12" w:space="0" w:color="auto"/>
            </w:tcBorders>
            <w:shd w:val="clear" w:color="auto" w:fill="auto"/>
          </w:tcPr>
          <w:p w14:paraId="4B9DF424" w14:textId="77777777" w:rsidR="00AE46C5" w:rsidRPr="00EA3960" w:rsidRDefault="00AE46C5" w:rsidP="00AE46C5">
            <w:pPr>
              <w:pStyle w:val="Tabletext9"/>
              <w:numPr>
                <w:ilvl w:val="0"/>
                <w:numId w:val="3"/>
              </w:numPr>
            </w:pPr>
          </w:p>
        </w:tc>
        <w:tc>
          <w:tcPr>
            <w:tcW w:w="4166" w:type="dxa"/>
            <w:tcBorders>
              <w:top w:val="single" w:sz="12" w:space="0" w:color="auto"/>
            </w:tcBorders>
            <w:shd w:val="clear" w:color="auto" w:fill="auto"/>
          </w:tcPr>
          <w:p w14:paraId="05ABF7D3" w14:textId="75F66820" w:rsidR="00B3593A" w:rsidRPr="008D0396" w:rsidRDefault="00AE46C5" w:rsidP="00BE370B">
            <w:pPr>
              <w:pStyle w:val="Tabletext9"/>
              <w:rPr>
                <w:color w:val="221F1F"/>
                <w:vertAlign w:val="superscript"/>
              </w:rPr>
            </w:pPr>
            <w:r>
              <w:rPr>
                <w:color w:val="221F1F"/>
              </w:rPr>
              <w:t>Density</w:t>
            </w:r>
            <w:r w:rsidRPr="00EA3960">
              <w:rPr>
                <w:color w:val="221F1F"/>
              </w:rPr>
              <w:t xml:space="preserve"> </w:t>
            </w:r>
            <w:r w:rsidR="00BE370B">
              <w:rPr>
                <w:color w:val="221F1F"/>
              </w:rPr>
              <w:t xml:space="preserve">@ </w:t>
            </w:r>
            <w:r w:rsidR="00BE370B" w:rsidRPr="0064589A">
              <w:rPr>
                <w:rFonts w:cs="Arial"/>
                <w:bCs/>
              </w:rPr>
              <w:t>20°C</w:t>
            </w:r>
            <w:r w:rsidR="00BE370B">
              <w:rPr>
                <w:rFonts w:cs="Arial"/>
                <w:bCs/>
              </w:rPr>
              <w:t>, Kg/m</w:t>
            </w:r>
            <w:r w:rsidR="00BE370B">
              <w:rPr>
                <w:rFonts w:cs="Arial"/>
                <w:bCs/>
                <w:vertAlign w:val="superscript"/>
              </w:rPr>
              <w:t>3</w:t>
            </w:r>
          </w:p>
        </w:tc>
        <w:tc>
          <w:tcPr>
            <w:tcW w:w="2492" w:type="dxa"/>
            <w:tcBorders>
              <w:top w:val="single" w:sz="12" w:space="0" w:color="auto"/>
            </w:tcBorders>
            <w:shd w:val="clear" w:color="auto" w:fill="auto"/>
          </w:tcPr>
          <w:p w14:paraId="314F1EF6" w14:textId="348CC834" w:rsidR="00AE46C5" w:rsidRPr="00EA3960" w:rsidRDefault="009B4335" w:rsidP="005C5184">
            <w:pPr>
              <w:pStyle w:val="Tabletext9"/>
              <w:jc w:val="center"/>
              <w:rPr>
                <w:color w:val="221F1F"/>
              </w:rPr>
            </w:pPr>
            <w:r>
              <w:t>0.771- 0.830</w:t>
            </w:r>
          </w:p>
        </w:tc>
        <w:tc>
          <w:tcPr>
            <w:tcW w:w="2492" w:type="dxa"/>
            <w:tcBorders>
              <w:top w:val="single" w:sz="12" w:space="0" w:color="auto"/>
            </w:tcBorders>
            <w:shd w:val="clear" w:color="auto" w:fill="auto"/>
          </w:tcPr>
          <w:p w14:paraId="7552A397" w14:textId="77777777" w:rsidR="00AE46C5" w:rsidRDefault="00AE46C5" w:rsidP="005C5184">
            <w:pPr>
              <w:pStyle w:val="Tabletext9"/>
            </w:pPr>
            <w:r>
              <w:t>ASTM D 1298</w:t>
            </w:r>
          </w:p>
          <w:p w14:paraId="5FACAAC3" w14:textId="3179E799" w:rsidR="00BE370B" w:rsidRPr="00EA3960" w:rsidRDefault="00BE370B" w:rsidP="005C5184">
            <w:pPr>
              <w:pStyle w:val="Tabletext9"/>
            </w:pPr>
            <w:r w:rsidRPr="00B3593A">
              <w:rPr>
                <w:rFonts w:cs="Arial"/>
              </w:rPr>
              <w:t>ASTM D 4052</w:t>
            </w:r>
          </w:p>
        </w:tc>
      </w:tr>
      <w:tr w:rsidR="00AE46C5" w:rsidRPr="00EA3960" w14:paraId="50A7464E" w14:textId="77777777" w:rsidTr="005C5184">
        <w:trPr>
          <w:trHeight w:val="233"/>
        </w:trPr>
        <w:tc>
          <w:tcPr>
            <w:tcW w:w="817" w:type="dxa"/>
            <w:shd w:val="clear" w:color="auto" w:fill="auto"/>
          </w:tcPr>
          <w:p w14:paraId="264E8776" w14:textId="77777777" w:rsidR="00AE46C5" w:rsidRPr="00EA3960" w:rsidRDefault="00AE46C5" w:rsidP="00AE46C5">
            <w:pPr>
              <w:pStyle w:val="Tabletext9"/>
              <w:numPr>
                <w:ilvl w:val="0"/>
                <w:numId w:val="3"/>
              </w:numPr>
            </w:pPr>
          </w:p>
        </w:tc>
        <w:tc>
          <w:tcPr>
            <w:tcW w:w="4166" w:type="dxa"/>
            <w:shd w:val="clear" w:color="auto" w:fill="auto"/>
          </w:tcPr>
          <w:p w14:paraId="2DAF8C5D" w14:textId="4FFC2D9F" w:rsidR="00AE46C5" w:rsidRPr="00362BFD" w:rsidRDefault="00AE46C5" w:rsidP="005C5184">
            <w:pPr>
              <w:pStyle w:val="Tabletext9"/>
              <w:rPr>
                <w:color w:val="221F1F"/>
              </w:rPr>
            </w:pPr>
            <w:r>
              <w:rPr>
                <w:color w:val="221F1F"/>
              </w:rPr>
              <w:t xml:space="preserve">Appearance </w:t>
            </w:r>
            <w:r w:rsidRPr="00EA3960">
              <w:rPr>
                <w:color w:val="221F1F"/>
              </w:rPr>
              <w:t xml:space="preserve"> </w:t>
            </w:r>
          </w:p>
        </w:tc>
        <w:tc>
          <w:tcPr>
            <w:tcW w:w="2492" w:type="dxa"/>
            <w:shd w:val="clear" w:color="auto" w:fill="auto"/>
          </w:tcPr>
          <w:p w14:paraId="42A8A51A" w14:textId="70D24E42" w:rsidR="00AE46C5" w:rsidRPr="00EA3960" w:rsidRDefault="00AE46C5" w:rsidP="005C5184">
            <w:pPr>
              <w:pStyle w:val="Tabletext9"/>
              <w:jc w:val="center"/>
            </w:pPr>
            <w:r>
              <w:t>Bright and clear</w:t>
            </w:r>
          </w:p>
        </w:tc>
        <w:tc>
          <w:tcPr>
            <w:tcW w:w="2492" w:type="dxa"/>
            <w:shd w:val="clear" w:color="auto" w:fill="auto"/>
          </w:tcPr>
          <w:p w14:paraId="5CF8D243" w14:textId="69103423" w:rsidR="00AE46C5" w:rsidRPr="00EA3960" w:rsidRDefault="00AE46C5" w:rsidP="005C5184">
            <w:pPr>
              <w:pStyle w:val="Tabletext9"/>
            </w:pPr>
            <w:r>
              <w:t>Visual</w:t>
            </w:r>
            <w:r w:rsidRPr="00EA3960">
              <w:t xml:space="preserve"> </w:t>
            </w:r>
          </w:p>
        </w:tc>
      </w:tr>
      <w:tr w:rsidR="00AE46C5" w:rsidRPr="00EA3960" w14:paraId="6FEFA576" w14:textId="77777777" w:rsidTr="005C5184">
        <w:trPr>
          <w:trHeight w:val="84"/>
        </w:trPr>
        <w:tc>
          <w:tcPr>
            <w:tcW w:w="817" w:type="dxa"/>
            <w:shd w:val="clear" w:color="auto" w:fill="auto"/>
          </w:tcPr>
          <w:p w14:paraId="3C4102BE" w14:textId="77777777" w:rsidR="00AE46C5" w:rsidRPr="00EA3960" w:rsidRDefault="00AE46C5" w:rsidP="00AE46C5">
            <w:pPr>
              <w:pStyle w:val="Tabletext9"/>
              <w:numPr>
                <w:ilvl w:val="0"/>
                <w:numId w:val="3"/>
              </w:numPr>
            </w:pPr>
          </w:p>
        </w:tc>
        <w:tc>
          <w:tcPr>
            <w:tcW w:w="4166" w:type="dxa"/>
            <w:shd w:val="clear" w:color="auto" w:fill="auto"/>
          </w:tcPr>
          <w:p w14:paraId="59963A36" w14:textId="77777777" w:rsidR="00AE46C5" w:rsidRDefault="00AE46C5" w:rsidP="00AE46C5">
            <w:pPr>
              <w:pStyle w:val="Tabletext9"/>
            </w:pPr>
            <w:r>
              <w:t>Burning quality</w:t>
            </w:r>
          </w:p>
          <w:p w14:paraId="7344058D" w14:textId="77777777" w:rsidR="00AE46C5" w:rsidRDefault="00AE46C5" w:rsidP="00AE46C5">
            <w:pPr>
              <w:pStyle w:val="Tabletext9"/>
            </w:pPr>
            <w:r>
              <w:t xml:space="preserve">a) Char value, of oil consumed </w:t>
            </w:r>
          </w:p>
          <w:p w14:paraId="1395ED8F" w14:textId="77777777" w:rsidR="00AE46C5" w:rsidRDefault="00AE46C5" w:rsidP="00AE46C5">
            <w:pPr>
              <w:pStyle w:val="Tabletext9"/>
            </w:pPr>
            <w:r>
              <w:t>mg/Kg, max.</w:t>
            </w:r>
          </w:p>
          <w:p w14:paraId="2512F5C9" w14:textId="36110B35" w:rsidR="00AE46C5" w:rsidRPr="00EA3960" w:rsidRDefault="00AE46C5" w:rsidP="00AE46C5">
            <w:pPr>
              <w:pStyle w:val="Tabletext9"/>
            </w:pPr>
            <w:r>
              <w:t>b) bloom on glass chimney</w:t>
            </w:r>
          </w:p>
        </w:tc>
        <w:tc>
          <w:tcPr>
            <w:tcW w:w="2492" w:type="dxa"/>
            <w:shd w:val="clear" w:color="auto" w:fill="auto"/>
          </w:tcPr>
          <w:p w14:paraId="1A58E3DC" w14:textId="77777777" w:rsidR="00AE46C5" w:rsidRDefault="00AE46C5" w:rsidP="00AE46C5">
            <w:pPr>
              <w:pStyle w:val="Tabletext9"/>
              <w:jc w:val="center"/>
            </w:pPr>
            <w:r>
              <w:t>20</w:t>
            </w:r>
          </w:p>
          <w:p w14:paraId="636BF3CA" w14:textId="5F2A30A2" w:rsidR="00AE46C5" w:rsidRPr="00EA3960" w:rsidRDefault="00AE46C5" w:rsidP="00AE46C5">
            <w:pPr>
              <w:pStyle w:val="Tabletext9"/>
              <w:jc w:val="center"/>
            </w:pPr>
            <w:r>
              <w:t>Not darker than gray</w:t>
            </w:r>
          </w:p>
        </w:tc>
        <w:tc>
          <w:tcPr>
            <w:tcW w:w="2492" w:type="dxa"/>
            <w:shd w:val="clear" w:color="auto" w:fill="auto"/>
          </w:tcPr>
          <w:p w14:paraId="5754997B" w14:textId="77777777" w:rsidR="00AE46C5" w:rsidRDefault="00AE46C5" w:rsidP="005C5184">
            <w:pPr>
              <w:pStyle w:val="Tabletext9"/>
            </w:pPr>
            <w:r w:rsidRPr="00EA3960">
              <w:t xml:space="preserve">ASTM </w:t>
            </w:r>
            <w:r>
              <w:t>D 187</w:t>
            </w:r>
          </w:p>
          <w:p w14:paraId="3F746912" w14:textId="7886142A" w:rsidR="009B4335" w:rsidRPr="00EA3960" w:rsidRDefault="009B4335" w:rsidP="005C5184">
            <w:pPr>
              <w:pStyle w:val="Tabletext9"/>
            </w:pPr>
            <w:r>
              <w:t>IP 10</w:t>
            </w:r>
          </w:p>
        </w:tc>
      </w:tr>
      <w:tr w:rsidR="00AE46C5" w:rsidRPr="00EA3960" w14:paraId="4142E9B3" w14:textId="77777777" w:rsidTr="005C5184">
        <w:trPr>
          <w:trHeight w:val="84"/>
        </w:trPr>
        <w:tc>
          <w:tcPr>
            <w:tcW w:w="817" w:type="dxa"/>
            <w:shd w:val="clear" w:color="auto" w:fill="auto"/>
          </w:tcPr>
          <w:p w14:paraId="57AB9C79" w14:textId="77777777" w:rsidR="00AE46C5" w:rsidRPr="00EA3960" w:rsidRDefault="00AE46C5" w:rsidP="00AE46C5">
            <w:pPr>
              <w:pStyle w:val="Tabletext9"/>
              <w:numPr>
                <w:ilvl w:val="0"/>
                <w:numId w:val="3"/>
              </w:numPr>
            </w:pPr>
          </w:p>
        </w:tc>
        <w:tc>
          <w:tcPr>
            <w:tcW w:w="4166" w:type="dxa"/>
            <w:shd w:val="clear" w:color="auto" w:fill="auto"/>
          </w:tcPr>
          <w:p w14:paraId="6D9EAA7E" w14:textId="5A8870C0" w:rsidR="00AE46C5" w:rsidRPr="00EA3960" w:rsidRDefault="00AE46C5" w:rsidP="00AE46C5">
            <w:pPr>
              <w:pStyle w:val="Tabletext9"/>
            </w:pPr>
            <w:r w:rsidRPr="002C0572">
              <w:t>Color (Soybolt), min</w:t>
            </w:r>
          </w:p>
        </w:tc>
        <w:tc>
          <w:tcPr>
            <w:tcW w:w="2492" w:type="dxa"/>
            <w:shd w:val="clear" w:color="auto" w:fill="auto"/>
          </w:tcPr>
          <w:p w14:paraId="7AFF8A1F" w14:textId="39CC6B0F" w:rsidR="00AE46C5" w:rsidRPr="00EA3960" w:rsidRDefault="009B4335" w:rsidP="00AE46C5">
            <w:pPr>
              <w:pStyle w:val="Tabletext9"/>
              <w:jc w:val="center"/>
            </w:pPr>
            <w:r>
              <w:t>+15</w:t>
            </w:r>
          </w:p>
        </w:tc>
        <w:tc>
          <w:tcPr>
            <w:tcW w:w="2492" w:type="dxa"/>
            <w:shd w:val="clear" w:color="auto" w:fill="auto"/>
          </w:tcPr>
          <w:p w14:paraId="3862CC43" w14:textId="5428417F" w:rsidR="00AE46C5" w:rsidRPr="00EA3960" w:rsidRDefault="00AE46C5" w:rsidP="00AE46C5">
            <w:pPr>
              <w:pStyle w:val="Tabletext9"/>
            </w:pPr>
            <w:r w:rsidRPr="002C0572">
              <w:t>ASTM D 156</w:t>
            </w:r>
          </w:p>
        </w:tc>
      </w:tr>
      <w:tr w:rsidR="00AE46C5" w:rsidRPr="00EA3960" w14:paraId="1F206647" w14:textId="77777777" w:rsidTr="005C5184">
        <w:trPr>
          <w:trHeight w:val="681"/>
        </w:trPr>
        <w:tc>
          <w:tcPr>
            <w:tcW w:w="817" w:type="dxa"/>
            <w:shd w:val="clear" w:color="auto" w:fill="auto"/>
          </w:tcPr>
          <w:p w14:paraId="3F0C5D2E" w14:textId="77777777" w:rsidR="00AE46C5" w:rsidRPr="00EA3960" w:rsidRDefault="00AE46C5" w:rsidP="00AE46C5">
            <w:pPr>
              <w:pStyle w:val="Tabletext9"/>
              <w:numPr>
                <w:ilvl w:val="0"/>
                <w:numId w:val="3"/>
              </w:numPr>
            </w:pPr>
          </w:p>
        </w:tc>
        <w:tc>
          <w:tcPr>
            <w:tcW w:w="4166" w:type="dxa"/>
            <w:shd w:val="clear" w:color="auto" w:fill="auto"/>
          </w:tcPr>
          <w:p w14:paraId="71F27FA8" w14:textId="7D6B1C37" w:rsidR="000E1FC4" w:rsidRPr="00EA3960" w:rsidRDefault="00AE46C5" w:rsidP="00B3593A">
            <w:pPr>
              <w:pStyle w:val="Tabletext9"/>
            </w:pPr>
            <w:r w:rsidRPr="00C66F99">
              <w:t xml:space="preserve">Copper strip corrosion </w:t>
            </w:r>
            <w:r w:rsidR="009B4335">
              <w:t>(2 h at 100°C), max.</w:t>
            </w:r>
          </w:p>
        </w:tc>
        <w:tc>
          <w:tcPr>
            <w:tcW w:w="2492" w:type="dxa"/>
            <w:shd w:val="clear" w:color="auto" w:fill="auto"/>
          </w:tcPr>
          <w:p w14:paraId="7F183E66" w14:textId="30489627" w:rsidR="00AE46C5" w:rsidRPr="00EA3960" w:rsidRDefault="009B4335" w:rsidP="00AE46C5">
            <w:pPr>
              <w:pStyle w:val="Tabletext9"/>
              <w:jc w:val="center"/>
            </w:pPr>
            <w:r>
              <w:t>1</w:t>
            </w:r>
          </w:p>
        </w:tc>
        <w:tc>
          <w:tcPr>
            <w:tcW w:w="2492" w:type="dxa"/>
            <w:shd w:val="clear" w:color="auto" w:fill="auto"/>
          </w:tcPr>
          <w:p w14:paraId="50B2CA4E" w14:textId="77777777" w:rsidR="009B4335" w:rsidRDefault="009B4335" w:rsidP="00AE46C5">
            <w:pPr>
              <w:pStyle w:val="Tabletext9"/>
            </w:pPr>
            <w:r>
              <w:t>ASTM 130</w:t>
            </w:r>
          </w:p>
          <w:p w14:paraId="167845F4" w14:textId="6CE05017" w:rsidR="00AE46C5" w:rsidRPr="00EA3960" w:rsidRDefault="00AE46C5" w:rsidP="00AE46C5">
            <w:pPr>
              <w:pStyle w:val="Tabletext9"/>
            </w:pPr>
          </w:p>
        </w:tc>
      </w:tr>
      <w:tr w:rsidR="00D162D0" w:rsidRPr="00EA3960" w14:paraId="28AAA35B" w14:textId="77777777" w:rsidTr="005C5184">
        <w:trPr>
          <w:trHeight w:val="84"/>
        </w:trPr>
        <w:tc>
          <w:tcPr>
            <w:tcW w:w="817" w:type="dxa"/>
            <w:shd w:val="clear" w:color="auto" w:fill="auto"/>
          </w:tcPr>
          <w:p w14:paraId="390073F5" w14:textId="77777777" w:rsidR="00D162D0" w:rsidRPr="00EA3960" w:rsidRDefault="00D162D0" w:rsidP="00D162D0">
            <w:pPr>
              <w:pStyle w:val="Tabletext9"/>
              <w:numPr>
                <w:ilvl w:val="0"/>
                <w:numId w:val="3"/>
              </w:numPr>
            </w:pPr>
          </w:p>
        </w:tc>
        <w:tc>
          <w:tcPr>
            <w:tcW w:w="4166" w:type="dxa"/>
            <w:shd w:val="clear" w:color="auto" w:fill="auto"/>
          </w:tcPr>
          <w:p w14:paraId="7EE056DE" w14:textId="77777777" w:rsidR="00D162D0" w:rsidRDefault="00D162D0" w:rsidP="00D162D0">
            <w:pPr>
              <w:pStyle w:val="Tabletext9"/>
            </w:pPr>
            <w:r w:rsidRPr="006B5604">
              <w:t>Distillation</w:t>
            </w:r>
          </w:p>
          <w:p w14:paraId="7709646B" w14:textId="176AC52D" w:rsidR="00D162D0" w:rsidRDefault="00D162D0" w:rsidP="009B4335">
            <w:pPr>
              <w:pStyle w:val="Tabletext9"/>
              <w:numPr>
                <w:ilvl w:val="0"/>
                <w:numId w:val="17"/>
              </w:numPr>
            </w:pPr>
            <w:r>
              <w:t>percentage recovered at 200 ˚C., min</w:t>
            </w:r>
          </w:p>
          <w:p w14:paraId="67DA0FEF" w14:textId="77777777" w:rsidR="009B4335" w:rsidRDefault="009B4335" w:rsidP="00D162D0">
            <w:pPr>
              <w:pStyle w:val="Tabletext9"/>
              <w:numPr>
                <w:ilvl w:val="0"/>
                <w:numId w:val="17"/>
              </w:numPr>
            </w:pPr>
            <w:r>
              <w:t>10% recovery, °C, max.</w:t>
            </w:r>
          </w:p>
          <w:p w14:paraId="616D4063" w14:textId="3BBA53E2" w:rsidR="000E1FC4" w:rsidRPr="00EA3960" w:rsidRDefault="00D162D0" w:rsidP="000E1FC4">
            <w:pPr>
              <w:pStyle w:val="Tabletext9"/>
              <w:numPr>
                <w:ilvl w:val="0"/>
                <w:numId w:val="17"/>
              </w:numPr>
            </w:pPr>
            <w:r>
              <w:t xml:space="preserve"> final boiling point ˚C, max</w:t>
            </w:r>
            <w:r w:rsidR="00B3593A">
              <w:t xml:space="preserve"> </w:t>
            </w:r>
            <w:r w:rsidR="000E1FC4" w:rsidRPr="000E1FC4">
              <w:rPr>
                <w:rFonts w:cs="Arial"/>
                <w:szCs w:val="18"/>
              </w:rPr>
              <w:t xml:space="preserve"> </w:t>
            </w:r>
          </w:p>
        </w:tc>
        <w:tc>
          <w:tcPr>
            <w:tcW w:w="2492" w:type="dxa"/>
            <w:shd w:val="clear" w:color="auto" w:fill="auto"/>
          </w:tcPr>
          <w:p w14:paraId="4B364B1B" w14:textId="77777777" w:rsidR="00D162D0" w:rsidRDefault="00D162D0" w:rsidP="00D162D0">
            <w:pPr>
              <w:pStyle w:val="Tabletext9"/>
              <w:jc w:val="center"/>
            </w:pPr>
          </w:p>
          <w:p w14:paraId="5231137B" w14:textId="01BD035A" w:rsidR="00D162D0" w:rsidRDefault="00D162D0" w:rsidP="00D162D0">
            <w:pPr>
              <w:pStyle w:val="Tabletext9"/>
              <w:jc w:val="center"/>
            </w:pPr>
            <w:r>
              <w:t xml:space="preserve">20 </w:t>
            </w:r>
          </w:p>
          <w:p w14:paraId="7421DF3D" w14:textId="0EF31AE8" w:rsidR="00D162D0" w:rsidRDefault="009B4335" w:rsidP="00D162D0">
            <w:pPr>
              <w:pStyle w:val="Tabletext9"/>
              <w:jc w:val="center"/>
            </w:pPr>
            <w:r>
              <w:t>204</w:t>
            </w:r>
          </w:p>
          <w:p w14:paraId="374C139F" w14:textId="06F7736A" w:rsidR="00D162D0" w:rsidRPr="00EA3960" w:rsidRDefault="00D162D0" w:rsidP="00D162D0">
            <w:pPr>
              <w:pStyle w:val="Tabletext9"/>
              <w:jc w:val="center"/>
            </w:pPr>
            <w:r>
              <w:t>300</w:t>
            </w:r>
          </w:p>
        </w:tc>
        <w:tc>
          <w:tcPr>
            <w:tcW w:w="2492" w:type="dxa"/>
            <w:shd w:val="clear" w:color="auto" w:fill="auto"/>
          </w:tcPr>
          <w:p w14:paraId="7C9985B0" w14:textId="77861E81" w:rsidR="00D162D0" w:rsidRPr="00EA3960" w:rsidRDefault="00D162D0" w:rsidP="00D162D0">
            <w:pPr>
              <w:pStyle w:val="Tabletext9"/>
            </w:pPr>
            <w:r>
              <w:t>ASTM D 86</w:t>
            </w:r>
          </w:p>
        </w:tc>
      </w:tr>
      <w:tr w:rsidR="00D162D0" w:rsidRPr="00EA3960" w14:paraId="651123EA" w14:textId="77777777" w:rsidTr="005C5184">
        <w:trPr>
          <w:trHeight w:val="203"/>
        </w:trPr>
        <w:tc>
          <w:tcPr>
            <w:tcW w:w="817" w:type="dxa"/>
            <w:shd w:val="clear" w:color="auto" w:fill="auto"/>
          </w:tcPr>
          <w:p w14:paraId="35499B9F" w14:textId="77777777" w:rsidR="00D162D0" w:rsidRPr="00EA3960" w:rsidRDefault="00D162D0" w:rsidP="00D162D0">
            <w:pPr>
              <w:pStyle w:val="Tabletext9"/>
              <w:numPr>
                <w:ilvl w:val="0"/>
                <w:numId w:val="3"/>
              </w:numPr>
            </w:pPr>
          </w:p>
        </w:tc>
        <w:tc>
          <w:tcPr>
            <w:tcW w:w="4166" w:type="dxa"/>
            <w:shd w:val="clear" w:color="auto" w:fill="auto"/>
          </w:tcPr>
          <w:p w14:paraId="6E2BFC91" w14:textId="77777777" w:rsidR="00D162D0" w:rsidRDefault="00D162D0" w:rsidP="00D162D0">
            <w:pPr>
              <w:pStyle w:val="Tabletext9"/>
            </w:pPr>
            <w:r w:rsidRPr="00661C42">
              <w:t>Flash point, ˚C min</w:t>
            </w:r>
          </w:p>
          <w:p w14:paraId="63E3FA20" w14:textId="66F8B449" w:rsidR="001A16C4" w:rsidRPr="00EA3960" w:rsidRDefault="001A16C4" w:rsidP="008D0396">
            <w:pPr>
              <w:keepLines/>
              <w:spacing w:before="100" w:after="60" w:line="190" w:lineRule="exact"/>
              <w:jc w:val="left"/>
            </w:pPr>
          </w:p>
        </w:tc>
        <w:tc>
          <w:tcPr>
            <w:tcW w:w="2492" w:type="dxa"/>
            <w:shd w:val="clear" w:color="auto" w:fill="auto"/>
          </w:tcPr>
          <w:p w14:paraId="3BFF95E3" w14:textId="6296B567" w:rsidR="00D162D0" w:rsidRPr="00EA3960" w:rsidRDefault="00D162D0" w:rsidP="00D162D0">
            <w:pPr>
              <w:pStyle w:val="Tabletext9"/>
              <w:jc w:val="center"/>
            </w:pPr>
            <w:r>
              <w:t>3</w:t>
            </w:r>
            <w:r w:rsidR="0058031C">
              <w:t>9</w:t>
            </w:r>
          </w:p>
        </w:tc>
        <w:tc>
          <w:tcPr>
            <w:tcW w:w="2492" w:type="dxa"/>
            <w:shd w:val="clear" w:color="auto" w:fill="auto"/>
          </w:tcPr>
          <w:p w14:paraId="57208E35" w14:textId="43433176" w:rsidR="00D162D0" w:rsidRDefault="00D162D0" w:rsidP="00D162D0">
            <w:pPr>
              <w:pStyle w:val="Tabletext9"/>
            </w:pPr>
          </w:p>
          <w:p w14:paraId="5725ED65" w14:textId="30480CD1" w:rsidR="00D162D0" w:rsidRPr="00EA3960" w:rsidRDefault="00D162D0" w:rsidP="00D162D0">
            <w:pPr>
              <w:pStyle w:val="Tabletext9"/>
            </w:pPr>
            <w:r w:rsidRPr="00661C42">
              <w:t>IP 170</w:t>
            </w:r>
          </w:p>
        </w:tc>
      </w:tr>
      <w:tr w:rsidR="00D162D0" w:rsidRPr="00EA3960" w14:paraId="711EF1F2" w14:textId="77777777" w:rsidTr="005C5184">
        <w:trPr>
          <w:trHeight w:val="84"/>
        </w:trPr>
        <w:tc>
          <w:tcPr>
            <w:tcW w:w="817" w:type="dxa"/>
            <w:shd w:val="clear" w:color="auto" w:fill="auto"/>
          </w:tcPr>
          <w:p w14:paraId="5D9BBB3F" w14:textId="77777777" w:rsidR="00D162D0" w:rsidRPr="00EA3960" w:rsidRDefault="00D162D0" w:rsidP="00D162D0">
            <w:pPr>
              <w:pStyle w:val="Tabletext9"/>
              <w:numPr>
                <w:ilvl w:val="0"/>
                <w:numId w:val="3"/>
              </w:numPr>
            </w:pPr>
          </w:p>
        </w:tc>
        <w:tc>
          <w:tcPr>
            <w:tcW w:w="4166" w:type="dxa"/>
            <w:shd w:val="clear" w:color="auto" w:fill="auto"/>
          </w:tcPr>
          <w:p w14:paraId="3A6B47AA" w14:textId="36C1A474" w:rsidR="00D162D0" w:rsidRPr="00EA3960" w:rsidRDefault="00D162D0" w:rsidP="00D162D0">
            <w:pPr>
              <w:pStyle w:val="Tabletext9"/>
            </w:pPr>
            <w:r w:rsidRPr="00C60CF3">
              <w:t xml:space="preserve">Smoke point, mm, min </w:t>
            </w:r>
          </w:p>
        </w:tc>
        <w:tc>
          <w:tcPr>
            <w:tcW w:w="2492" w:type="dxa"/>
            <w:shd w:val="clear" w:color="auto" w:fill="auto"/>
          </w:tcPr>
          <w:p w14:paraId="40A90E30" w14:textId="4A85343C" w:rsidR="00D162D0" w:rsidRPr="00EA3960" w:rsidRDefault="00D162D0" w:rsidP="00D162D0">
            <w:pPr>
              <w:pStyle w:val="Tabletext9"/>
              <w:jc w:val="center"/>
            </w:pPr>
            <w:r>
              <w:t>20</w:t>
            </w:r>
          </w:p>
        </w:tc>
        <w:tc>
          <w:tcPr>
            <w:tcW w:w="2492" w:type="dxa"/>
            <w:shd w:val="clear" w:color="auto" w:fill="auto"/>
          </w:tcPr>
          <w:p w14:paraId="30922194" w14:textId="3CCF3A96" w:rsidR="00D162D0" w:rsidRPr="00EA3960" w:rsidRDefault="00D162D0" w:rsidP="00D162D0">
            <w:pPr>
              <w:pStyle w:val="Tabletext9"/>
            </w:pPr>
            <w:r w:rsidRPr="00C60CF3">
              <w:t>ASTM D 1322</w:t>
            </w:r>
          </w:p>
        </w:tc>
      </w:tr>
      <w:tr w:rsidR="00D162D0" w:rsidRPr="00EA3960" w14:paraId="23915C4B" w14:textId="77777777" w:rsidTr="005C5184">
        <w:trPr>
          <w:trHeight w:val="233"/>
        </w:trPr>
        <w:tc>
          <w:tcPr>
            <w:tcW w:w="817" w:type="dxa"/>
            <w:shd w:val="clear" w:color="auto" w:fill="auto"/>
          </w:tcPr>
          <w:p w14:paraId="4B34C02F" w14:textId="77777777" w:rsidR="00D162D0" w:rsidRPr="00EA3960" w:rsidRDefault="00D162D0" w:rsidP="00D162D0">
            <w:pPr>
              <w:pStyle w:val="Tabletext9"/>
              <w:numPr>
                <w:ilvl w:val="0"/>
                <w:numId w:val="3"/>
              </w:numPr>
            </w:pPr>
          </w:p>
        </w:tc>
        <w:tc>
          <w:tcPr>
            <w:tcW w:w="4166" w:type="dxa"/>
            <w:shd w:val="clear" w:color="auto" w:fill="auto"/>
          </w:tcPr>
          <w:p w14:paraId="41BD9AE0" w14:textId="58275604" w:rsidR="00D162D0" w:rsidRPr="00EA3960" w:rsidRDefault="00D162D0" w:rsidP="00D162D0">
            <w:pPr>
              <w:pStyle w:val="Tabletext9"/>
            </w:pPr>
            <w:r w:rsidRPr="00553BEA">
              <w:t xml:space="preserve">Total sulfur, percentage by mass, max </w:t>
            </w:r>
          </w:p>
        </w:tc>
        <w:tc>
          <w:tcPr>
            <w:tcW w:w="2492" w:type="dxa"/>
            <w:shd w:val="clear" w:color="auto" w:fill="auto"/>
          </w:tcPr>
          <w:p w14:paraId="21EB4803" w14:textId="3050A11D" w:rsidR="00D162D0" w:rsidRPr="00EA3960" w:rsidRDefault="00D162D0" w:rsidP="00D162D0">
            <w:pPr>
              <w:pStyle w:val="Tabletext9"/>
              <w:jc w:val="center"/>
            </w:pPr>
            <w:r w:rsidRPr="00553BEA">
              <w:t>0.</w:t>
            </w:r>
            <w:r w:rsidR="009B4335">
              <w:t>15</w:t>
            </w:r>
            <w:r w:rsidRPr="00553BEA">
              <w:t xml:space="preserve"> </w:t>
            </w:r>
          </w:p>
        </w:tc>
        <w:tc>
          <w:tcPr>
            <w:tcW w:w="2492" w:type="dxa"/>
            <w:shd w:val="clear" w:color="auto" w:fill="auto"/>
          </w:tcPr>
          <w:p w14:paraId="72A448FF" w14:textId="16C68A40" w:rsidR="00D162D0" w:rsidRPr="00EA3960" w:rsidRDefault="00D162D0" w:rsidP="00D162D0">
            <w:pPr>
              <w:pStyle w:val="Tabletext9"/>
            </w:pPr>
            <w:r w:rsidRPr="00553BEA">
              <w:t>ASTM D1266</w:t>
            </w:r>
          </w:p>
        </w:tc>
      </w:tr>
      <w:tr w:rsidR="00AE46C5" w:rsidRPr="00EA3960" w14:paraId="02C49A9A" w14:textId="77777777" w:rsidTr="005C5184">
        <w:trPr>
          <w:trHeight w:val="84"/>
        </w:trPr>
        <w:tc>
          <w:tcPr>
            <w:tcW w:w="817" w:type="dxa"/>
            <w:shd w:val="clear" w:color="auto" w:fill="auto"/>
          </w:tcPr>
          <w:p w14:paraId="1A8E7440" w14:textId="77777777" w:rsidR="00AE46C5" w:rsidRPr="00EA3960" w:rsidRDefault="00AE46C5" w:rsidP="00AE46C5">
            <w:pPr>
              <w:pStyle w:val="Tabletext9"/>
              <w:numPr>
                <w:ilvl w:val="0"/>
                <w:numId w:val="3"/>
              </w:numPr>
            </w:pPr>
          </w:p>
        </w:tc>
        <w:tc>
          <w:tcPr>
            <w:tcW w:w="4166" w:type="dxa"/>
            <w:shd w:val="clear" w:color="auto" w:fill="auto"/>
          </w:tcPr>
          <w:p w14:paraId="660E8E45" w14:textId="77777777" w:rsidR="00AE46C5" w:rsidRPr="00EA3960" w:rsidRDefault="00AE46C5" w:rsidP="005C5184">
            <w:pPr>
              <w:pStyle w:val="Tabletext9"/>
            </w:pPr>
            <w:r w:rsidRPr="00EA3960">
              <w:t>Ash, wt</w:t>
            </w:r>
            <w:r>
              <w:t>,</w:t>
            </w:r>
            <w:r w:rsidRPr="00EA3960">
              <w:t xml:space="preserve"> %, max. </w:t>
            </w:r>
          </w:p>
        </w:tc>
        <w:tc>
          <w:tcPr>
            <w:tcW w:w="2492" w:type="dxa"/>
            <w:shd w:val="clear" w:color="auto" w:fill="auto"/>
          </w:tcPr>
          <w:p w14:paraId="5774D0CB" w14:textId="77777777" w:rsidR="00AE46C5" w:rsidRPr="00EA3960" w:rsidRDefault="00AE46C5" w:rsidP="005C5184">
            <w:pPr>
              <w:pStyle w:val="Tabletext9"/>
              <w:jc w:val="center"/>
            </w:pPr>
            <w:r w:rsidRPr="00EA3960">
              <w:t>0.01</w:t>
            </w:r>
          </w:p>
        </w:tc>
        <w:tc>
          <w:tcPr>
            <w:tcW w:w="2492" w:type="dxa"/>
            <w:shd w:val="clear" w:color="auto" w:fill="auto"/>
          </w:tcPr>
          <w:p w14:paraId="377AF2E2" w14:textId="77777777" w:rsidR="00AE46C5" w:rsidRPr="00EA3960" w:rsidRDefault="00AE46C5" w:rsidP="005C5184">
            <w:pPr>
              <w:pStyle w:val="Tabletext9"/>
            </w:pPr>
            <w:r w:rsidRPr="00EA3960">
              <w:t xml:space="preserve">ASTM D 482 </w:t>
            </w:r>
          </w:p>
        </w:tc>
      </w:tr>
      <w:tr w:rsidR="009B4335" w:rsidRPr="00EA3960" w14:paraId="05BC1E95" w14:textId="77777777" w:rsidTr="005C5184">
        <w:trPr>
          <w:trHeight w:val="84"/>
        </w:trPr>
        <w:tc>
          <w:tcPr>
            <w:tcW w:w="817" w:type="dxa"/>
            <w:shd w:val="clear" w:color="auto" w:fill="auto"/>
          </w:tcPr>
          <w:p w14:paraId="4BDDC262" w14:textId="77777777" w:rsidR="009B4335" w:rsidRPr="00EA3960" w:rsidRDefault="009B4335" w:rsidP="00AE46C5">
            <w:pPr>
              <w:pStyle w:val="Tabletext9"/>
              <w:numPr>
                <w:ilvl w:val="0"/>
                <w:numId w:val="3"/>
              </w:numPr>
            </w:pPr>
          </w:p>
        </w:tc>
        <w:tc>
          <w:tcPr>
            <w:tcW w:w="4166" w:type="dxa"/>
            <w:shd w:val="clear" w:color="auto" w:fill="auto"/>
          </w:tcPr>
          <w:p w14:paraId="157712E1" w14:textId="60950225" w:rsidR="009B4335" w:rsidRPr="00EA3960" w:rsidRDefault="009B4335" w:rsidP="005C5184">
            <w:pPr>
              <w:pStyle w:val="Tabletext9"/>
            </w:pPr>
            <w:r>
              <w:t xml:space="preserve">Water and suspended matter </w:t>
            </w:r>
          </w:p>
        </w:tc>
        <w:tc>
          <w:tcPr>
            <w:tcW w:w="2492" w:type="dxa"/>
            <w:shd w:val="clear" w:color="auto" w:fill="auto"/>
          </w:tcPr>
          <w:p w14:paraId="141BFD16" w14:textId="2BCF0E12" w:rsidR="009B4335" w:rsidRPr="00EA3960" w:rsidRDefault="009B4335" w:rsidP="005C5184">
            <w:pPr>
              <w:pStyle w:val="Tabletext9"/>
              <w:jc w:val="center"/>
            </w:pPr>
            <w:r>
              <w:t xml:space="preserve">Clear and bright </w:t>
            </w:r>
          </w:p>
        </w:tc>
        <w:tc>
          <w:tcPr>
            <w:tcW w:w="2492" w:type="dxa"/>
            <w:shd w:val="clear" w:color="auto" w:fill="auto"/>
          </w:tcPr>
          <w:p w14:paraId="10C8E314" w14:textId="72546302" w:rsidR="009B4335" w:rsidRPr="00EA3960" w:rsidRDefault="009B4335" w:rsidP="005C5184">
            <w:pPr>
              <w:pStyle w:val="Tabletext9"/>
            </w:pPr>
            <w:r>
              <w:t>ASTM D 4176</w:t>
            </w:r>
          </w:p>
        </w:tc>
      </w:tr>
    </w:tbl>
    <w:p w14:paraId="731CEF98" w14:textId="77777777" w:rsidR="00AE46C5" w:rsidRPr="00AE46C5" w:rsidRDefault="00AE46C5" w:rsidP="00AE46C5"/>
    <w:p w14:paraId="4E15AB10" w14:textId="77777777" w:rsidR="00AE46C5" w:rsidRPr="00AE46C5" w:rsidRDefault="00AE46C5" w:rsidP="00AE46C5"/>
    <w:p w14:paraId="50412797" w14:textId="77777777" w:rsidR="00C9210E" w:rsidRDefault="00C9210E" w:rsidP="00302BEC">
      <w:pPr>
        <w:pStyle w:val="ListNumber"/>
      </w:pPr>
    </w:p>
    <w:p w14:paraId="1DAD2BD9" w14:textId="77777777" w:rsidR="0058031C" w:rsidRDefault="0058031C" w:rsidP="0058031C">
      <w:pPr>
        <w:pStyle w:val="Heading3"/>
      </w:pPr>
      <w:r>
        <w:lastRenderedPageBreak/>
        <w:t>5</w:t>
      </w:r>
      <w:r w:rsidR="00FC2C0C">
        <w:tab/>
      </w:r>
      <w:r w:rsidR="00C33723">
        <w:t xml:space="preserve"> Storage stability</w:t>
      </w:r>
    </w:p>
    <w:p w14:paraId="23EBC3D8" w14:textId="03CD4753" w:rsidR="00C33723" w:rsidRPr="00FC2C0C" w:rsidRDefault="0058031C" w:rsidP="00FC2C0C">
      <w:pPr>
        <w:pStyle w:val="Heading1"/>
      </w:pPr>
      <w:r>
        <w:t>After storage in the origin containers under normal storage conditions for a period of six (6) months from the date of receipt, products shall still comply with requirements of this standard.</w:t>
      </w:r>
      <w:r w:rsidR="00082822">
        <w:t>6</w:t>
      </w:r>
      <w:r w:rsidR="00FC2C0C" w:rsidRPr="00FC2C0C">
        <w:tab/>
      </w:r>
      <w:r w:rsidR="00C33723" w:rsidRPr="00FC2C0C">
        <w:t>Packaging</w:t>
      </w:r>
    </w:p>
    <w:p w14:paraId="417D8099" w14:textId="7B182947" w:rsidR="000F7074" w:rsidRDefault="000F7074" w:rsidP="001A16C4">
      <w:pPr>
        <w:keepLines/>
        <w:spacing w:before="100" w:after="60" w:line="190" w:lineRule="exact"/>
        <w:jc w:val="left"/>
      </w:pPr>
    </w:p>
    <w:p w14:paraId="0A66820D" w14:textId="4ADAA875" w:rsidR="001A16C4" w:rsidRDefault="001A16C4" w:rsidP="001A16C4">
      <w:pPr>
        <w:keepLines/>
        <w:spacing w:before="100" w:after="60" w:line="190" w:lineRule="exact"/>
        <w:jc w:val="left"/>
        <w:rPr>
          <w:rFonts w:cs="Arial"/>
        </w:rPr>
      </w:pPr>
      <w:r>
        <w:rPr>
          <w:rFonts w:cs="Arial"/>
        </w:rPr>
        <w:t xml:space="preserve">6.1 </w:t>
      </w:r>
      <w:r w:rsidRPr="008268F3">
        <w:rPr>
          <w:rFonts w:cs="Arial"/>
        </w:rPr>
        <w:t>The condition of the containers, rail tankers and road tank vehicles shall be such as not to be detrimental to the quality of the illuminating kerosene during transportation and storage. The containers shall be acceptably sealed or leak proof, clean and free from materials soluble in illuminating kerosene as applicable.</w:t>
      </w:r>
    </w:p>
    <w:p w14:paraId="6B76FA17" w14:textId="68F4737D" w:rsidR="00C33723" w:rsidRPr="00FC2C0C" w:rsidRDefault="00082822" w:rsidP="00FC2C0C">
      <w:pPr>
        <w:pStyle w:val="Heading1"/>
      </w:pPr>
      <w:r>
        <w:t>7</w:t>
      </w:r>
      <w:r w:rsidR="00FC2C0C" w:rsidRPr="00FC2C0C">
        <w:tab/>
      </w:r>
      <w:r w:rsidR="00B97BAD">
        <w:t>Labelling</w:t>
      </w:r>
    </w:p>
    <w:p w14:paraId="7151DA61" w14:textId="199A3664" w:rsidR="00082822" w:rsidRPr="00E36804" w:rsidRDefault="00623582" w:rsidP="00082822">
      <w:pPr>
        <w:pStyle w:val="ListNumber"/>
        <w:numPr>
          <w:ilvl w:val="0"/>
          <w:numId w:val="18"/>
        </w:numPr>
      </w:pPr>
      <w:r>
        <w:rPr>
          <w:rFonts w:cs="Arial"/>
          <w:szCs w:val="18"/>
        </w:rPr>
        <w:t>7.1</w:t>
      </w:r>
      <w:r w:rsidR="000262C0" w:rsidRPr="008D0396">
        <w:rPr>
          <w:rFonts w:cs="Arial"/>
          <w:szCs w:val="18"/>
        </w:rPr>
        <w:t xml:space="preserve">The following information shall appear in legible and indelible </w:t>
      </w:r>
      <w:r w:rsidR="000262C0">
        <w:rPr>
          <w:rFonts w:cs="Arial"/>
          <w:szCs w:val="18"/>
        </w:rPr>
        <w:t>marked</w:t>
      </w:r>
      <w:r w:rsidR="00C33723">
        <w:t xml:space="preserve"> on the </w:t>
      </w:r>
      <w:r w:rsidR="000262C0">
        <w:t xml:space="preserve">portable </w:t>
      </w:r>
      <w:r w:rsidR="00C33723">
        <w:t>container, or on a label affixed to the</w:t>
      </w:r>
      <w:r w:rsidR="000262C0">
        <w:t xml:space="preserve"> portable </w:t>
      </w:r>
      <w:r w:rsidR="00C33723">
        <w:t xml:space="preserve"> </w:t>
      </w:r>
      <w:proofErr w:type="spellStart"/>
      <w:r w:rsidR="00C33723">
        <w:t>container</w:t>
      </w:r>
      <w:bookmarkStart w:id="16" w:name="_Hlk115778473"/>
      <w:r w:rsidR="00082822" w:rsidRPr="00E36804">
        <w:t>name</w:t>
      </w:r>
      <w:proofErr w:type="spellEnd"/>
      <w:r w:rsidR="00082822" w:rsidRPr="00E36804">
        <w:t xml:space="preserve"> and physical address</w:t>
      </w:r>
      <w:r w:rsidR="00082822">
        <w:t xml:space="preserve"> of</w:t>
      </w:r>
      <w:r w:rsidR="00082822" w:rsidRPr="00E36804">
        <w:t xml:space="preserve"> the manufacturer or supplie</w:t>
      </w:r>
      <w:bookmarkEnd w:id="16"/>
      <w:r w:rsidR="00082822" w:rsidRPr="00E36804">
        <w:t xml:space="preserve">r; </w:t>
      </w:r>
    </w:p>
    <w:p w14:paraId="6C33AC27" w14:textId="256ED685" w:rsidR="00082822" w:rsidRPr="00E36804" w:rsidRDefault="00082822" w:rsidP="00082822">
      <w:pPr>
        <w:pStyle w:val="ListNumber"/>
        <w:numPr>
          <w:ilvl w:val="0"/>
          <w:numId w:val="18"/>
        </w:numPr>
      </w:pPr>
      <w:r w:rsidRPr="00E36804">
        <w:t xml:space="preserve">name of the product as “ </w:t>
      </w:r>
      <w:r>
        <w:t>Illuminating kerosene</w:t>
      </w:r>
      <w:r w:rsidRPr="00E36804">
        <w:t xml:space="preserve">” ; </w:t>
      </w:r>
    </w:p>
    <w:p w14:paraId="15604A2F" w14:textId="74ED74E4" w:rsidR="00082822" w:rsidRPr="004E4AF0" w:rsidRDefault="00082822" w:rsidP="00082822">
      <w:pPr>
        <w:pStyle w:val="ListNumber"/>
        <w:numPr>
          <w:ilvl w:val="0"/>
          <w:numId w:val="18"/>
        </w:numPr>
      </w:pPr>
      <w:r w:rsidRPr="004E4AF0">
        <w:t xml:space="preserve">batch number; </w:t>
      </w:r>
    </w:p>
    <w:p w14:paraId="2A0AA3D9" w14:textId="77777777" w:rsidR="00082822" w:rsidRPr="00E36804" w:rsidRDefault="00082822" w:rsidP="00082822">
      <w:pPr>
        <w:pStyle w:val="ListNumber"/>
        <w:numPr>
          <w:ilvl w:val="0"/>
          <w:numId w:val="18"/>
        </w:numPr>
      </w:pPr>
      <w:r w:rsidRPr="00E36804">
        <w:t xml:space="preserve">net content; </w:t>
      </w:r>
    </w:p>
    <w:p w14:paraId="753C8D34" w14:textId="54AA449D" w:rsidR="00082822" w:rsidRPr="00E36804" w:rsidRDefault="00082822" w:rsidP="00082822">
      <w:pPr>
        <w:pStyle w:val="ListNumber"/>
        <w:numPr>
          <w:ilvl w:val="0"/>
          <w:numId w:val="18"/>
        </w:numPr>
      </w:pPr>
    </w:p>
    <w:p w14:paraId="77254F59" w14:textId="77777777" w:rsidR="00082822" w:rsidRDefault="00082822" w:rsidP="00082822">
      <w:pPr>
        <w:pStyle w:val="ListNumber"/>
        <w:numPr>
          <w:ilvl w:val="0"/>
          <w:numId w:val="18"/>
        </w:numPr>
      </w:pPr>
      <w:r w:rsidRPr="00E36804">
        <w:t>country of origin</w:t>
      </w:r>
    </w:p>
    <w:p w14:paraId="3B0E860B" w14:textId="158FAE13" w:rsidR="000262C0" w:rsidRDefault="000262C0" w:rsidP="00082822">
      <w:pPr>
        <w:pStyle w:val="ListNumber"/>
        <w:numPr>
          <w:ilvl w:val="0"/>
          <w:numId w:val="18"/>
        </w:numPr>
      </w:pPr>
      <w:r>
        <w:t>Flammable material</w:t>
      </w:r>
    </w:p>
    <w:p w14:paraId="6D6200EA" w14:textId="6B8EEA8E" w:rsidR="00082822" w:rsidRDefault="00861E0F" w:rsidP="00082822">
      <w:pPr>
        <w:pStyle w:val="p2"/>
      </w:pPr>
      <w:bookmarkStart w:id="17" w:name="_Hlk115781199"/>
      <w:r>
        <w:rPr>
          <w:b/>
        </w:rPr>
        <w:t>7</w:t>
      </w:r>
      <w:r w:rsidR="00082822" w:rsidRPr="00E36804">
        <w:rPr>
          <w:b/>
        </w:rPr>
        <w:t>.2</w:t>
      </w:r>
      <w:r w:rsidR="00082822">
        <w:tab/>
        <w:t>For bulk transportation the above information shall be in the documentation accompanying the product</w:t>
      </w:r>
      <w:bookmarkEnd w:id="17"/>
      <w:r w:rsidR="000262C0">
        <w:t xml:space="preserve"> and the respective container shall be marked with;</w:t>
      </w:r>
    </w:p>
    <w:p w14:paraId="7DB21E7E" w14:textId="770F291A" w:rsidR="00094039" w:rsidRPr="008D0396" w:rsidRDefault="00094039" w:rsidP="00094039">
      <w:pPr>
        <w:pStyle w:val="ISOChange"/>
        <w:spacing w:before="60" w:after="60"/>
        <w:ind w:left="4"/>
        <w:rPr>
          <w:rFonts w:cs="Arial"/>
          <w:szCs w:val="18"/>
        </w:rPr>
      </w:pPr>
      <w:r w:rsidRPr="008D0396">
        <w:rPr>
          <w:rFonts w:cs="Arial"/>
          <w:szCs w:val="18"/>
        </w:rPr>
        <w:t>a. the words “FLAMMABLE MATERIAL”; and</w:t>
      </w:r>
    </w:p>
    <w:p w14:paraId="55BAAFA4" w14:textId="172C72A3" w:rsidR="00C33723" w:rsidRDefault="00094039" w:rsidP="00FC2C0C">
      <w:pPr>
        <w:pStyle w:val="Heading1"/>
      </w:pPr>
      <w:r w:rsidRPr="008D0396">
        <w:rPr>
          <w:rFonts w:cs="Arial"/>
          <w:sz w:val="18"/>
          <w:szCs w:val="18"/>
        </w:rPr>
        <w:t>b)</w:t>
      </w:r>
      <w:r w:rsidRPr="008D0396">
        <w:rPr>
          <w:rFonts w:cs="Arial"/>
          <w:sz w:val="18"/>
          <w:szCs w:val="18"/>
        </w:rPr>
        <w:tab/>
        <w:t>the warning “dangerous goods”</w:t>
      </w:r>
      <w:r w:rsidR="00C70E5D">
        <w:t>8</w:t>
      </w:r>
      <w:r w:rsidR="00FC2C0C">
        <w:tab/>
      </w:r>
      <w:r w:rsidR="00C33723">
        <w:t xml:space="preserve">Sampling </w:t>
      </w:r>
    </w:p>
    <w:p w14:paraId="60C2BAD5" w14:textId="1F36855F" w:rsidR="00D17C07" w:rsidRPr="00362BFD" w:rsidRDefault="00D17C07" w:rsidP="00D17C07">
      <w:bookmarkStart w:id="18" w:name="_Hlk115786943"/>
      <w:r w:rsidRPr="00AA2549">
        <w:t xml:space="preserve">Sampling of </w:t>
      </w:r>
      <w:r w:rsidR="00C70E5D">
        <w:t xml:space="preserve">illuminating </w:t>
      </w:r>
      <w:r w:rsidR="00861E0F">
        <w:t xml:space="preserve">kerosene </w:t>
      </w:r>
      <w:r w:rsidRPr="00AA2549">
        <w:t xml:space="preserve">shall be carried out in accordance with </w:t>
      </w:r>
      <w:r>
        <w:t xml:space="preserve">ASTM </w:t>
      </w:r>
      <w:r w:rsidRPr="00AA2549">
        <w:t>D4057</w:t>
      </w:r>
      <w:r>
        <w:t xml:space="preserve"> or ASTM </w:t>
      </w:r>
      <w:r w:rsidRPr="00AA2549">
        <w:t>D4177</w:t>
      </w:r>
      <w:r>
        <w:t>.</w:t>
      </w:r>
    </w:p>
    <w:bookmarkEnd w:id="18"/>
    <w:p w14:paraId="39311FFA" w14:textId="77777777" w:rsidR="00C33723" w:rsidRDefault="00C33723" w:rsidP="00C33723"/>
    <w:p w14:paraId="3030A18B" w14:textId="77777777" w:rsidR="00EC4B78" w:rsidRDefault="00EC4B78">
      <w:pPr>
        <w:pStyle w:val="zzBiblio"/>
      </w:pPr>
      <w:bookmarkStart w:id="19" w:name="_Toc443470372"/>
      <w:bookmarkStart w:id="20" w:name="_Toc450303224"/>
      <w:bookmarkStart w:id="21" w:name="_Toc101337859"/>
      <w:r>
        <w:lastRenderedPageBreak/>
        <w:t>Bibliography</w:t>
      </w:r>
      <w:bookmarkEnd w:id="19"/>
      <w:bookmarkEnd w:id="20"/>
      <w:bookmarkEnd w:id="21"/>
    </w:p>
    <w:p w14:paraId="286D40F7" w14:textId="3F7C38F2" w:rsidR="00EC4B78" w:rsidRDefault="00D17C07" w:rsidP="00D17C07">
      <w:pPr>
        <w:numPr>
          <w:ilvl w:val="0"/>
          <w:numId w:val="19"/>
        </w:numPr>
      </w:pPr>
      <w:r>
        <w:t>KS 1289: 1999, Specification for illuminating kerosene</w:t>
      </w:r>
    </w:p>
    <w:p w14:paraId="45C0E062" w14:textId="0D831E16" w:rsidR="00D17C07" w:rsidRDefault="00D17C07" w:rsidP="00D17C07">
      <w:pPr>
        <w:numPr>
          <w:ilvl w:val="0"/>
          <w:numId w:val="19"/>
        </w:numPr>
      </w:pPr>
      <w:r>
        <w:t>TZ 580: 2017, Illuminating kerosene — Specification</w:t>
      </w:r>
    </w:p>
    <w:p w14:paraId="049E8D60" w14:textId="77777777" w:rsidR="00D17C07" w:rsidRDefault="00D17C07" w:rsidP="00D17C07">
      <w:pPr>
        <w:numPr>
          <w:ilvl w:val="0"/>
          <w:numId w:val="19"/>
        </w:numPr>
      </w:pPr>
      <w:r>
        <w:t>US 803: 2021, Kerosene (BIK) — Specification</w:t>
      </w:r>
    </w:p>
    <w:p w14:paraId="3F56EBBD" w14:textId="77777777" w:rsidR="00D17C07" w:rsidRDefault="00D17C07" w:rsidP="00D17C07">
      <w:pPr>
        <w:ind w:left="720"/>
      </w:pPr>
    </w:p>
    <w:p w14:paraId="472E9582" w14:textId="77777777" w:rsidR="00D17C07" w:rsidRDefault="00D17C07"/>
    <w:sectPr w:rsidR="00D17C07" w:rsidSect="00D11D33">
      <w:headerReference w:type="even" r:id="rId21"/>
      <w:headerReference w:type="default" r:id="rId22"/>
      <w:headerReference w:type="first" r:id="rId23"/>
      <w:footerReference w:type="first" r:id="rId24"/>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C5AB" w14:textId="77777777" w:rsidR="00DF1AD9" w:rsidRDefault="00DF1AD9">
      <w:r>
        <w:separator/>
      </w:r>
    </w:p>
  </w:endnote>
  <w:endnote w:type="continuationSeparator" w:id="0">
    <w:p w14:paraId="4B3983AE" w14:textId="77777777" w:rsidR="00DF1AD9" w:rsidRDefault="00DF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6354" w14:textId="77777777" w:rsidR="00CE6A7B" w:rsidRDefault="00CE6A7B" w:rsidP="00B569CE">
    <w:pPr>
      <w:pStyle w:val="Footer"/>
      <w:jc w:val="right"/>
    </w:pPr>
    <w:r>
      <w:t xml:space="preserve">© EAC </w:t>
    </w:r>
    <w:r w:rsidRPr="0056751D">
      <w:rPr>
        <w:color w:val="FF0000"/>
      </w:rPr>
      <w:t>yyyy</w:t>
    </w:r>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5314" w14:textId="77777777" w:rsidR="008D0396" w:rsidRDefault="008D0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757E" w14:textId="6EC5AD6F" w:rsidR="00CE6A7B" w:rsidRPr="008907AF" w:rsidRDefault="00CE6A7B" w:rsidP="003A270C">
    <w:pPr>
      <w:pStyle w:val="Footer"/>
      <w:spacing w:after="360" w:line="220" w:lineRule="exact"/>
    </w:pPr>
    <w:r w:rsidRPr="008907AF">
      <w:t>© EA</w:t>
    </w:r>
    <w:r w:rsidRPr="00FA63DA">
      <w:t xml:space="preserve">C </w:t>
    </w:r>
    <w:r w:rsidR="005D005E" w:rsidRPr="00253684">
      <w:t>20</w:t>
    </w:r>
    <w:r w:rsidR="005D005E">
      <w:t>2</w:t>
    </w:r>
    <w:r w:rsidR="009D4B26">
      <w:t>2</w:t>
    </w:r>
    <w:r w:rsidR="005D005E" w:rsidRPr="00253684">
      <w:t xml:space="preserve">                                                                                                                              </w:t>
    </w:r>
    <w:r w:rsidRPr="00253684">
      <w:t xml:space="preserve">First Edition </w:t>
    </w:r>
    <w:r w:rsidR="005D005E" w:rsidRPr="00253684">
      <w:t>20</w:t>
    </w:r>
    <w:r w:rsidR="005D005E">
      <w:t>2</w:t>
    </w:r>
    <w:r w:rsidR="00D17C07">
      <w:t>3</w:t>
    </w:r>
  </w:p>
  <w:p w14:paraId="7AD60BC2" w14:textId="77777777" w:rsidR="00CE6A7B" w:rsidRPr="003A270C" w:rsidRDefault="00CE6A7B"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E6A7B" w14:paraId="67314EBE" w14:textId="77777777">
      <w:trPr>
        <w:cantSplit/>
        <w:jc w:val="center"/>
      </w:trPr>
      <w:tc>
        <w:tcPr>
          <w:tcW w:w="4876" w:type="dxa"/>
        </w:tcPr>
        <w:p w14:paraId="520D16E1" w14:textId="77777777" w:rsidR="00CE6A7B" w:rsidRPr="00722321" w:rsidRDefault="00CE6A7B">
          <w:pPr>
            <w:pStyle w:val="Footer"/>
            <w:spacing w:before="540"/>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0E5585">
            <w:rPr>
              <w:rStyle w:val="PageNumber"/>
              <w:b/>
              <w:noProof/>
            </w:rPr>
            <w:t>16</w:t>
          </w:r>
          <w:r w:rsidRPr="00722321">
            <w:rPr>
              <w:rStyle w:val="PageNumber"/>
              <w:b/>
            </w:rPr>
            <w:fldChar w:fldCharType="end"/>
          </w:r>
        </w:p>
      </w:tc>
      <w:tc>
        <w:tcPr>
          <w:tcW w:w="4876" w:type="dxa"/>
        </w:tcPr>
        <w:p w14:paraId="5B33A442" w14:textId="075E2B35" w:rsidR="00CE6A7B" w:rsidRDefault="00CE6A7B" w:rsidP="005D005E">
          <w:pPr>
            <w:pStyle w:val="Footer"/>
            <w:spacing w:before="540"/>
            <w:jc w:val="right"/>
          </w:pPr>
          <w:r>
            <w:t xml:space="preserve">© EAC </w:t>
          </w:r>
          <w:r w:rsidR="005D005E">
            <w:t>202</w:t>
          </w:r>
          <w:r w:rsidR="00D17C07">
            <w:t>3</w:t>
          </w:r>
          <w:r w:rsidR="005D005E">
            <w:t> </w:t>
          </w:r>
          <w:r>
            <w:t>– All rights reserved</w:t>
          </w:r>
        </w:p>
      </w:tc>
    </w:tr>
  </w:tbl>
  <w:p w14:paraId="69A6B5E6" w14:textId="77777777" w:rsidR="00CE6A7B" w:rsidRDefault="00CE6A7B">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E6A7B" w14:paraId="32C77854" w14:textId="77777777">
      <w:trPr>
        <w:cantSplit/>
        <w:jc w:val="center"/>
      </w:trPr>
      <w:tc>
        <w:tcPr>
          <w:tcW w:w="4876" w:type="dxa"/>
        </w:tcPr>
        <w:p w14:paraId="1619445F" w14:textId="6D6453F7" w:rsidR="00CE6A7B" w:rsidRDefault="00CE6A7B" w:rsidP="005D005E">
          <w:pPr>
            <w:pStyle w:val="Footer"/>
            <w:spacing w:before="540"/>
            <w:rPr>
              <w:b/>
            </w:rPr>
          </w:pPr>
          <w:r>
            <w:t xml:space="preserve">© EAC </w:t>
          </w:r>
          <w:r w:rsidR="005D005E" w:rsidRPr="004871EF">
            <w:t>202</w:t>
          </w:r>
          <w:r w:rsidR="00D17C07">
            <w:t>3</w:t>
          </w:r>
          <w:r w:rsidR="005D005E" w:rsidRPr="004871EF">
            <w:t> </w:t>
          </w:r>
          <w:r>
            <w:t>– All rights reserved</w:t>
          </w:r>
        </w:p>
      </w:tc>
      <w:tc>
        <w:tcPr>
          <w:tcW w:w="4876" w:type="dxa"/>
        </w:tcPr>
        <w:p w14:paraId="6260B332" w14:textId="77777777" w:rsidR="00CE6A7B" w:rsidRPr="00722321" w:rsidRDefault="00CE6A7B">
          <w:pPr>
            <w:pStyle w:val="Footer"/>
            <w:spacing w:before="540"/>
            <w:jc w:val="right"/>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0E5585">
            <w:rPr>
              <w:rStyle w:val="PageNumber"/>
              <w:b/>
              <w:noProof/>
            </w:rPr>
            <w:t>15</w:t>
          </w:r>
          <w:r w:rsidRPr="00722321">
            <w:rPr>
              <w:rStyle w:val="PageNumber"/>
              <w:b/>
            </w:rPr>
            <w:fldChar w:fldCharType="end"/>
          </w:r>
        </w:p>
      </w:tc>
    </w:tr>
  </w:tbl>
  <w:p w14:paraId="29600F53" w14:textId="77777777" w:rsidR="00CE6A7B" w:rsidRDefault="00CE6A7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CE6A7B" w:rsidRPr="00A610A1" w14:paraId="4ECE977F" w14:textId="77777777">
      <w:trPr>
        <w:cantSplit/>
      </w:trPr>
      <w:tc>
        <w:tcPr>
          <w:tcW w:w="5173" w:type="dxa"/>
        </w:tcPr>
        <w:p w14:paraId="3465FB4F" w14:textId="77777777" w:rsidR="00CE6A7B" w:rsidRPr="00A610A1" w:rsidRDefault="00CE6A7B" w:rsidP="005D005E">
          <w:pPr>
            <w:pStyle w:val="Footer"/>
            <w:spacing w:before="540"/>
          </w:pPr>
          <w:r w:rsidRPr="00A610A1">
            <w:t xml:space="preserve">© EAC </w:t>
          </w:r>
          <w:r w:rsidR="005D005E" w:rsidRPr="00A610A1">
            <w:t>20</w:t>
          </w:r>
          <w:r w:rsidR="005D005E">
            <w:t>2</w:t>
          </w:r>
          <w:r w:rsidR="004871EF">
            <w:t>2</w:t>
          </w:r>
          <w:r w:rsidR="005D005E" w:rsidRPr="00A610A1">
            <w:t> </w:t>
          </w:r>
          <w:r w:rsidRPr="00A610A1">
            <w:t>– All rights reserved</w:t>
          </w:r>
        </w:p>
      </w:tc>
      <w:tc>
        <w:tcPr>
          <w:tcW w:w="5173" w:type="dxa"/>
        </w:tcPr>
        <w:p w14:paraId="4766D38D" w14:textId="77777777" w:rsidR="00CE6A7B" w:rsidRPr="00A610A1" w:rsidRDefault="00CE6A7B">
          <w:pPr>
            <w:pStyle w:val="Footer"/>
            <w:spacing w:before="540"/>
            <w:jc w:val="right"/>
            <w:rPr>
              <w:b/>
              <w:sz w:val="16"/>
            </w:rPr>
          </w:pPr>
          <w:r w:rsidRPr="00A610A1">
            <w:rPr>
              <w:rStyle w:val="PageNumber"/>
              <w:b/>
            </w:rPr>
            <w:fldChar w:fldCharType="begin"/>
          </w:r>
          <w:r w:rsidRPr="00A610A1">
            <w:rPr>
              <w:rStyle w:val="PageNumber"/>
              <w:b/>
            </w:rPr>
            <w:instrText xml:space="preserve"> PAGE </w:instrText>
          </w:r>
          <w:r w:rsidRPr="00A610A1">
            <w:rPr>
              <w:rStyle w:val="PageNumber"/>
              <w:b/>
            </w:rPr>
            <w:fldChar w:fldCharType="separate"/>
          </w:r>
          <w:r w:rsidR="000E5585">
            <w:rPr>
              <w:rStyle w:val="PageNumber"/>
              <w:b/>
              <w:noProof/>
            </w:rPr>
            <w:t>1</w:t>
          </w:r>
          <w:r w:rsidRPr="00A610A1">
            <w:rPr>
              <w:rStyle w:val="PageNumber"/>
              <w:b/>
            </w:rPr>
            <w:fldChar w:fldCharType="end"/>
          </w:r>
        </w:p>
      </w:tc>
    </w:tr>
  </w:tbl>
  <w:p w14:paraId="6696C3B8" w14:textId="77777777" w:rsidR="00CE6A7B" w:rsidRDefault="00CE6A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321" w14:textId="0C089B26" w:rsidR="00CE6A7B" w:rsidRDefault="00CE6A7B" w:rsidP="00457EE7">
    <w:pPr>
      <w:pBdr>
        <w:top w:val="thinThickThinSmallGap" w:sz="18" w:space="1" w:color="99FF33"/>
      </w:pBdr>
    </w:pPr>
    <w:r>
      <w:t xml:space="preserve">© EAC </w:t>
    </w:r>
    <w:r w:rsidR="005D005E">
      <w:rPr>
        <w:color w:val="FF0000"/>
      </w:rPr>
      <w:t>202</w:t>
    </w:r>
    <w:r w:rsidR="00D17C07">
      <w:rPr>
        <w:color w:val="FF0000"/>
      </w:rPr>
      <w:t>3</w:t>
    </w:r>
    <w:r w:rsidR="005D005E">
      <w:rPr>
        <w:color w:val="FF0000"/>
      </w:rPr>
      <w:t xml:space="preserve"> </w:t>
    </w:r>
    <w:r>
      <w:t>– All rights reserved</w:t>
    </w: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CE6A7B" w14:paraId="3E163FE7" w14:textId="77777777">
      <w:trPr>
        <w:cantSplit/>
        <w:jc w:val="center"/>
      </w:trPr>
      <w:tc>
        <w:tcPr>
          <w:tcW w:w="4876" w:type="dxa"/>
        </w:tcPr>
        <w:p w14:paraId="6DDCB454" w14:textId="77777777" w:rsidR="00CE6A7B" w:rsidRDefault="00CE6A7B">
          <w:pPr>
            <w:pStyle w:val="Footer"/>
            <w:spacing w:before="540"/>
            <w:rPr>
              <w:b/>
            </w:rPr>
          </w:pPr>
        </w:p>
      </w:tc>
      <w:tc>
        <w:tcPr>
          <w:tcW w:w="5048" w:type="dxa"/>
        </w:tcPr>
        <w:p w14:paraId="46FEF553" w14:textId="77777777" w:rsidR="00CE6A7B" w:rsidRDefault="00CE6A7B">
          <w:pPr>
            <w:pStyle w:val="Footer"/>
            <w:spacing w:before="540"/>
            <w:jc w:val="right"/>
            <w:rPr>
              <w:b/>
            </w:rPr>
          </w:pPr>
        </w:p>
      </w:tc>
    </w:tr>
  </w:tbl>
  <w:p w14:paraId="769E5715" w14:textId="77777777" w:rsidR="00CE6A7B" w:rsidRDefault="00CE6A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4C7A" w14:textId="77777777" w:rsidR="00DF1AD9" w:rsidRDefault="00DF1AD9">
      <w:r>
        <w:separator/>
      </w:r>
    </w:p>
  </w:footnote>
  <w:footnote w:type="continuationSeparator" w:id="0">
    <w:p w14:paraId="23918869" w14:textId="77777777" w:rsidR="00DF1AD9" w:rsidRDefault="00DF1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D468" w14:textId="591687A0" w:rsidR="00CE6A7B" w:rsidRPr="00224EA3" w:rsidRDefault="00000000">
    <w:pPr>
      <w:pStyle w:val="Header"/>
      <w:rPr>
        <w:sz w:val="24"/>
        <w:szCs w:val="24"/>
      </w:rPr>
    </w:pPr>
    <w:r>
      <w:rPr>
        <w:noProof/>
      </w:rPr>
      <w:pict w14:anchorId="28477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743860" o:spid="_x0000_s1026" type="#_x0000_t136" style="position:absolute;left:0;text-align:left;margin-left:0;margin-top:0;width:661.8pt;height:25.45pt;rotation:315;z-index:-251655168;mso-position-horizontal:center;mso-position-horizontal-relative:margin;mso-position-vertical:center;mso-position-vertical-relative:margin" o:allowincell="f" fillcolor="#4472c4 [3204]" stroked="f">
          <v:fill opacity=".5"/>
          <v:textpath style="font-family:&quot;Arial&quot;;font-size:1pt" string=" DEAS 1211; FOR PUBLIC REVIEW USE ONLY; JUNE 2024"/>
          <w10:wrap anchorx="margin" anchory="margin"/>
        </v:shape>
      </w:pict>
    </w:r>
    <w:r w:rsidR="00CE6A7B">
      <w:t xml:space="preserve">EAS </w:t>
    </w:r>
    <w:r w:rsidR="00CE6A7B" w:rsidRPr="001752F2">
      <w:rPr>
        <w:color w:val="FF0000"/>
        <w:szCs w:val="22"/>
      </w:rPr>
      <w:t>n</w:t>
    </w:r>
    <w:r w:rsidR="00CE6A7B">
      <w:rPr>
        <w:color w:val="FF0000"/>
        <w:szCs w:val="22"/>
      </w:rPr>
      <w:t>n</w:t>
    </w:r>
    <w:r w:rsidR="00CE6A7B" w:rsidRPr="001752F2">
      <w:rPr>
        <w:color w:val="FF0000"/>
        <w:szCs w:val="22"/>
      </w:rPr>
      <w:t>nn-n</w:t>
    </w:r>
    <w:r w:rsidR="00CE6A7B">
      <w:rPr>
        <w:color w:val="FF0000"/>
        <w:szCs w:val="22"/>
      </w:rPr>
      <w:t>:</w:t>
    </w:r>
    <w:r w:rsidR="00CE6A7B" w:rsidRPr="001752F2">
      <w:rPr>
        <w:color w:val="FF0000"/>
        <w:szCs w:val="22"/>
      </w:rPr>
      <w:t xml:space="preserve">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D3AB" w14:textId="6B9BBE41" w:rsidR="002E2E8F" w:rsidRDefault="00000000">
    <w:pPr>
      <w:pStyle w:val="Header"/>
    </w:pPr>
    <w:r>
      <w:rPr>
        <w:noProof/>
      </w:rPr>
      <w:pict w14:anchorId="618FF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743861" o:spid="_x0000_s1027" type="#_x0000_t136" style="position:absolute;left:0;text-align:left;margin-left:0;margin-top:0;width:661.8pt;height:25.45pt;rotation:315;z-index:-251653120;mso-position-horizontal:center;mso-position-horizontal-relative:margin;mso-position-vertical:center;mso-position-vertical-relative:margin" o:allowincell="f" fillcolor="#4472c4 [3204]" stroked="f">
          <v:fill opacity=".5"/>
          <v:textpath style="font-family:&quot;Arial&quot;;font-size:1pt" string=" DEAS 1211; FOR PUBLIC REVIEW USE ONLY; JUNE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7" w:type="dxa"/>
      <w:tblInd w:w="48" w:type="dxa"/>
      <w:tblLook w:val="0000" w:firstRow="0" w:lastRow="0" w:firstColumn="0" w:lastColumn="0" w:noHBand="0" w:noVBand="0"/>
    </w:tblPr>
    <w:tblGrid>
      <w:gridCol w:w="2790"/>
      <w:gridCol w:w="7827"/>
    </w:tblGrid>
    <w:tr w:rsidR="00CE6A7B" w14:paraId="1E8E513B" w14:textId="77777777" w:rsidTr="005126A7">
      <w:trPr>
        <w:trHeight w:val="1034"/>
      </w:trPr>
      <w:tc>
        <w:tcPr>
          <w:tcW w:w="2790" w:type="dxa"/>
        </w:tcPr>
        <w:p w14:paraId="3C975A0A" w14:textId="63611800" w:rsidR="00CE6A7B" w:rsidRDefault="00D17C07" w:rsidP="00C604D6">
          <w:pPr>
            <w:spacing w:before="120" w:after="160" w:line="259" w:lineRule="auto"/>
            <w:ind w:left="-58"/>
            <w:jc w:val="left"/>
            <w:rPr>
              <w:rFonts w:ascii="Bookman Old Style" w:hAnsi="Bookman Old Style"/>
              <w:noProof/>
              <w:lang w:val="en-US"/>
            </w:rPr>
          </w:pPr>
          <w:r>
            <w:rPr>
              <w:rFonts w:ascii="Bookman Old Style" w:hAnsi="Bookman Old Style"/>
              <w:noProof/>
              <w:lang w:val="en-US" w:eastAsia="zh-TW"/>
            </w:rPr>
            <w:drawing>
              <wp:inline distT="0" distB="0" distL="0" distR="0" wp14:anchorId="66956D0D" wp14:editId="3333C032">
                <wp:extent cx="942975" cy="866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66775"/>
                        </a:xfrm>
                        <a:prstGeom prst="rect">
                          <a:avLst/>
                        </a:prstGeom>
                        <a:noFill/>
                        <a:ln>
                          <a:noFill/>
                        </a:ln>
                      </pic:spPr>
                    </pic:pic>
                  </a:graphicData>
                </a:graphic>
              </wp:inline>
            </w:drawing>
          </w:r>
        </w:p>
      </w:tc>
      <w:tc>
        <w:tcPr>
          <w:tcW w:w="7827" w:type="dxa"/>
        </w:tcPr>
        <w:p w14:paraId="15661584" w14:textId="7DAD0513" w:rsidR="00CE6A7B" w:rsidRPr="002174DA" w:rsidRDefault="008D0396" w:rsidP="00C604D6">
          <w:pPr>
            <w:pStyle w:val="Header"/>
            <w:tabs>
              <w:tab w:val="left" w:pos="2000"/>
              <w:tab w:val="left" w:pos="2050"/>
              <w:tab w:val="right" w:pos="9760"/>
            </w:tabs>
            <w:spacing w:before="240" w:after="240" w:line="240" w:lineRule="auto"/>
            <w:jc w:val="right"/>
            <w:rPr>
              <w:color w:val="FF0000"/>
              <w:sz w:val="28"/>
              <w:szCs w:val="28"/>
            </w:rPr>
          </w:pPr>
          <w:r>
            <w:rPr>
              <w:sz w:val="28"/>
              <w:szCs w:val="28"/>
            </w:rPr>
            <w:t>DEAS 1211</w:t>
          </w:r>
          <w:r w:rsidR="00A610A1" w:rsidRPr="00A610A1">
            <w:rPr>
              <w:sz w:val="28"/>
              <w:szCs w:val="28"/>
            </w:rPr>
            <w:t>:</w:t>
          </w:r>
          <w:r w:rsidR="00E65428" w:rsidRPr="00A610A1">
            <w:rPr>
              <w:sz w:val="28"/>
              <w:szCs w:val="28"/>
            </w:rPr>
            <w:t>20</w:t>
          </w:r>
          <w:r w:rsidR="00E65428">
            <w:rPr>
              <w:sz w:val="28"/>
              <w:szCs w:val="28"/>
            </w:rPr>
            <w:t>2</w:t>
          </w:r>
          <w:r>
            <w:rPr>
              <w:sz w:val="28"/>
              <w:szCs w:val="28"/>
            </w:rPr>
            <w:t>4</w:t>
          </w:r>
        </w:p>
        <w:p w14:paraId="0854214E" w14:textId="77777777" w:rsidR="00CE6A7B" w:rsidRPr="00446E2C" w:rsidRDefault="00CE6A7B" w:rsidP="00E65428">
          <w:pPr>
            <w:pStyle w:val="Header"/>
            <w:tabs>
              <w:tab w:val="left" w:pos="2000"/>
              <w:tab w:val="left" w:pos="2050"/>
              <w:tab w:val="right" w:pos="9760"/>
            </w:tabs>
            <w:spacing w:before="240" w:after="240" w:line="240" w:lineRule="auto"/>
            <w:jc w:val="right"/>
            <w:rPr>
              <w:color w:val="FF0000"/>
            </w:rPr>
          </w:pPr>
          <w:r>
            <w:rPr>
              <w:b w:val="0"/>
              <w:bCs/>
              <w:sz w:val="24"/>
              <w:szCs w:val="24"/>
            </w:rPr>
            <w:t xml:space="preserve">ICS </w:t>
          </w:r>
          <w:r w:rsidR="00912D86">
            <w:rPr>
              <w:b w:val="0"/>
              <w:bCs/>
              <w:sz w:val="24"/>
              <w:szCs w:val="24"/>
            </w:rPr>
            <w:t>75.100</w:t>
          </w:r>
        </w:p>
      </w:tc>
    </w:tr>
  </w:tbl>
  <w:p w14:paraId="54CEF822" w14:textId="34A4BB2E" w:rsidR="00CE6A7B" w:rsidRPr="00094F64" w:rsidRDefault="00000000" w:rsidP="0047342D">
    <w:pPr>
      <w:pStyle w:val="Header"/>
      <w:tabs>
        <w:tab w:val="left" w:pos="2000"/>
        <w:tab w:val="left" w:pos="2050"/>
        <w:tab w:val="right" w:pos="9760"/>
      </w:tabs>
      <w:spacing w:before="240" w:after="240" w:line="240" w:lineRule="auto"/>
      <w:jc w:val="left"/>
      <w:rPr>
        <w:color w:val="FF0000"/>
      </w:rPr>
    </w:pPr>
    <w:r>
      <w:rPr>
        <w:noProof/>
      </w:rPr>
      <w:pict w14:anchorId="3B75E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743859" o:spid="_x0000_s1025" type="#_x0000_t136" style="position:absolute;margin-left:0;margin-top:0;width:676.2pt;height:25.45pt;rotation:315;z-index:-251657216;mso-position-horizontal:center;mso-position-horizontal-relative:margin;mso-position-vertical:center;mso-position-vertical-relative:margin" o:allowincell="f" fillcolor="#4472c4 [3204]" stroked="f">
          <v:fill opacity=".5"/>
          <v:textpath style="font-family:&quot;Arial&quot;;font-size:1pt" string=" DEAS 1211; FOR PUBLIC REVIEW USE ONLY; JUNE 202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5C94" w14:textId="7FC65168" w:rsidR="00CE6A7B" w:rsidRPr="00253684" w:rsidRDefault="00000000" w:rsidP="00253684">
    <w:pPr>
      <w:pStyle w:val="Header"/>
    </w:pPr>
    <w:r>
      <w:rPr>
        <w:noProof/>
      </w:rPr>
      <w:pict w14:anchorId="1BB3B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743863" o:spid="_x0000_s1029" type="#_x0000_t136" style="position:absolute;left:0;text-align:left;margin-left:0;margin-top:0;width:676.35pt;height:25.45pt;rotation:315;z-index:-251649024;mso-position-horizontal:center;mso-position-horizontal-relative:margin;mso-position-vertical:center;mso-position-vertical-relative:margin" o:allowincell="f" fillcolor="#4472c4 [3204]" stroked="f">
          <v:fill opacity=".5"/>
          <v:textpath style="font-family:&quot;Arial&quot;;font-size:1pt" string=" DEAS 1211; FOR PUBLIC REVIEW USE ONLY; JUNE 2024"/>
          <w10:wrap anchorx="margin" anchory="margin"/>
        </v:shape>
      </w:pict>
    </w:r>
    <w:r w:rsidR="008D0396">
      <w:t>DEAS 1211:2024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5089" w14:textId="2908EF6A" w:rsidR="00CE6A7B" w:rsidRDefault="00000000">
    <w:pPr>
      <w:pStyle w:val="Header"/>
      <w:jc w:val="right"/>
    </w:pPr>
    <w:r>
      <w:rPr>
        <w:noProof/>
      </w:rPr>
      <w:pict w14:anchorId="3029C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743864" o:spid="_x0000_s1030" type="#_x0000_t136" style="position:absolute;left:0;text-align:left;margin-left:0;margin-top:0;width:661.8pt;height:25.45pt;rotation:315;z-index:-251646976;mso-position-horizontal:center;mso-position-horizontal-relative:margin;mso-position-vertical:center;mso-position-vertical-relative:margin" o:allowincell="f" fillcolor="#4472c4 [3204]" stroked="f">
          <v:fill opacity=".5"/>
          <v:textpath style="font-family:&quot;Arial&quot;;font-size:1pt" string=" DEAS 1211; FOR PUBLIC REVIEW USE ONLY; JUNE 2024"/>
          <w10:wrap anchorx="margin" anchory="margin"/>
        </v:shape>
      </w:pict>
    </w:r>
    <w:r w:rsidR="008D0396">
      <w:t>DEAS 1211:2024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C328" w14:textId="4C22CFED" w:rsidR="00CE6A7B" w:rsidRDefault="00000000">
    <w:pPr>
      <w:pStyle w:val="Header"/>
    </w:pPr>
    <w:r>
      <w:rPr>
        <w:noProof/>
      </w:rPr>
      <w:pict w14:anchorId="6CB08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743862" o:spid="_x0000_s1028" type="#_x0000_t136" style="position:absolute;left:0;text-align:left;margin-left:0;margin-top:0;width:661.8pt;height:25.45pt;rotation:315;z-index:-251651072;mso-position-horizontal:center;mso-position-horizontal-relative:margin;mso-position-vertical:center;mso-position-vertical-relative:margin" o:allowincell="f" fillcolor="#4472c4 [3204]" stroked="f">
          <v:fill opacity=".5"/>
          <v:textpath style="font-family:&quot;Arial&quot;;font-size:1pt" string=" DEAS 1211; FOR PUBLIC REVIEW USE ONLY; JUNE 2024"/>
          <w10:wrap anchorx="margin" anchory="margin"/>
        </v:shape>
      </w:pict>
    </w:r>
    <w:r w:rsidR="00CE6A7B">
      <w:rPr>
        <w:color w:val="FF0000"/>
      </w:rPr>
      <w:t>ISO/WD nnn-n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280A" w14:textId="01B46F7E" w:rsidR="007F2723" w:rsidRDefault="00000000" w:rsidP="008D0396">
    <w:pPr>
      <w:pStyle w:val="Header"/>
      <w:ind w:left="7254" w:firstLine="403"/>
    </w:pPr>
    <w:r>
      <w:rPr>
        <w:noProof/>
      </w:rPr>
      <w:pict w14:anchorId="10C99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743866" o:spid="_x0000_s1032" type="#_x0000_t136" style="position:absolute;left:0;text-align:left;margin-left:0;margin-top:0;width:663.6pt;height:25.45pt;rotation:315;z-index:-251642880;mso-position-horizontal:center;mso-position-horizontal-relative:margin;mso-position-vertical:center;mso-position-vertical-relative:margin" o:allowincell="f" fillcolor="#4472c4 [3204]" stroked="f">
          <v:fill opacity=".5"/>
          <v:textpath style="font-family:&quot;Arial&quot;;font-size:1pt" string=" DEAS 1211; FOR PUBLIC REVIEW USE ONLY; JUNE 2024"/>
          <w10:wrap anchorx="margin" anchory="margin"/>
        </v:shape>
      </w:pict>
    </w:r>
    <w:r w:rsidR="008D0396">
      <w:t>DEAS 1211:2024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08B0" w14:textId="6014C961" w:rsidR="007F2723" w:rsidRDefault="00000000">
    <w:pPr>
      <w:pStyle w:val="Header"/>
    </w:pPr>
    <w:r>
      <w:rPr>
        <w:noProof/>
      </w:rPr>
      <w:pict w14:anchorId="651A1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743867" o:spid="_x0000_s1033" type="#_x0000_t136" style="position:absolute;left:0;text-align:left;margin-left:0;margin-top:0;width:661.8pt;height:25.45pt;rotation:315;z-index:-251640832;mso-position-horizontal:center;mso-position-horizontal-relative:margin;mso-position-vertical:center;mso-position-vertical-relative:margin" o:allowincell="f" fillcolor="#4472c4 [3204]" stroked="f">
          <v:fill opacity=".5"/>
          <v:textpath style="font-family:&quot;Arial&quot;;font-size:1pt" string=" DEAS 1211; FOR PUBLIC REVIEW USE ONLY; JUNE 2024"/>
          <w10:wrap anchorx="margin" anchory="margin"/>
        </v:shape>
      </w:pict>
    </w:r>
    <w:r w:rsidR="008D0396">
      <w:t>DEAS 1211:2024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E6A7B" w14:paraId="36E2F16D" w14:textId="77777777">
      <w:trPr>
        <w:cantSplit/>
        <w:jc w:val="center"/>
      </w:trPr>
      <w:tc>
        <w:tcPr>
          <w:tcW w:w="5387" w:type="dxa"/>
        </w:tcPr>
        <w:p w14:paraId="2E50E540" w14:textId="588FE3B6" w:rsidR="00CE6A7B" w:rsidRDefault="008D0396" w:rsidP="00754792">
          <w:pPr>
            <w:pStyle w:val="Header"/>
            <w:spacing w:before="120" w:after="120" w:line="-230" w:lineRule="auto"/>
            <w:rPr>
              <w:color w:val="FF0000"/>
            </w:rPr>
          </w:pPr>
          <w:r>
            <w:t>DEAS 1211:2024</w:t>
          </w:r>
        </w:p>
      </w:tc>
      <w:tc>
        <w:tcPr>
          <w:tcW w:w="4366" w:type="dxa"/>
        </w:tcPr>
        <w:p w14:paraId="707796D9" w14:textId="77777777" w:rsidR="00CE6A7B" w:rsidRDefault="00CE6A7B">
          <w:pPr>
            <w:pStyle w:val="Header"/>
            <w:spacing w:before="120" w:after="120" w:line="-230" w:lineRule="auto"/>
            <w:jc w:val="right"/>
          </w:pPr>
          <w:r>
            <w:rPr>
              <w:color w:val="FF0000"/>
            </w:rPr>
            <w:t xml:space="preserve"> </w:t>
          </w:r>
        </w:p>
      </w:tc>
    </w:tr>
    <w:tr w:rsidR="002E2E8F" w14:paraId="08996163" w14:textId="77777777">
      <w:trPr>
        <w:cantSplit/>
        <w:jc w:val="center"/>
      </w:trPr>
      <w:tc>
        <w:tcPr>
          <w:tcW w:w="5387" w:type="dxa"/>
        </w:tcPr>
        <w:p w14:paraId="48EAA4C2" w14:textId="77777777" w:rsidR="002E2E8F" w:rsidRPr="00912D86" w:rsidRDefault="002E2E8F" w:rsidP="00754792">
          <w:pPr>
            <w:pStyle w:val="Header"/>
            <w:spacing w:before="120" w:after="120" w:line="-230" w:lineRule="auto"/>
          </w:pPr>
        </w:p>
      </w:tc>
      <w:tc>
        <w:tcPr>
          <w:tcW w:w="4366" w:type="dxa"/>
        </w:tcPr>
        <w:p w14:paraId="6CBF7932" w14:textId="77777777" w:rsidR="002E2E8F" w:rsidRDefault="002E2E8F">
          <w:pPr>
            <w:pStyle w:val="Header"/>
            <w:spacing w:before="120" w:after="120" w:line="-230" w:lineRule="auto"/>
            <w:jc w:val="right"/>
            <w:rPr>
              <w:color w:val="FF0000"/>
            </w:rPr>
          </w:pPr>
        </w:p>
      </w:tc>
    </w:tr>
  </w:tbl>
  <w:p w14:paraId="3B54C055" w14:textId="013363C1" w:rsidR="00CE6A7B" w:rsidRDefault="00000000">
    <w:pPr>
      <w:pStyle w:val="Header"/>
    </w:pPr>
    <w:r>
      <w:rPr>
        <w:noProof/>
      </w:rPr>
      <w:pict w14:anchorId="0AFC0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743865" o:spid="_x0000_s1031" type="#_x0000_t136" style="position:absolute;left:0;text-align:left;margin-left:0;margin-top:0;width:661.8pt;height:25.45pt;rotation:315;z-index:-251644928;mso-position-horizontal:center;mso-position-horizontal-relative:margin;mso-position-vertical:center;mso-position-vertical-relative:margin" o:allowincell="f" fillcolor="#4472c4 [3204]" stroked="f">
          <v:fill opacity=".5"/>
          <v:textpath style="font-family:&quot;Arial&quot;;font-size:1pt" string=" DEAS 1211; FOR PUBLIC REVIEW USE ONLY; JUNE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A863DEA"/>
    <w:lvl w:ilvl="0">
      <w:start w:val="1"/>
      <w:numFmt w:val="decimal"/>
      <w:lvlText w:val="%1."/>
      <w:lvlJc w:val="left"/>
      <w:pPr>
        <w:tabs>
          <w:tab w:val="num" w:pos="360"/>
        </w:tabs>
        <w:ind w:left="360" w:hanging="360"/>
      </w:pPr>
    </w:lvl>
  </w:abstractNum>
  <w:abstractNum w:abstractNumId="1" w15:restartNumberingAfterBreak="0">
    <w:nsid w:val="00112C6B"/>
    <w:multiLevelType w:val="hybridMultilevel"/>
    <w:tmpl w:val="8214C7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70749B"/>
    <w:multiLevelType w:val="hybridMultilevel"/>
    <w:tmpl w:val="681E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30F9"/>
    <w:multiLevelType w:val="hybridMultilevel"/>
    <w:tmpl w:val="19D41B6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E84CEA"/>
    <w:multiLevelType w:val="hybridMultilevel"/>
    <w:tmpl w:val="9AC4C2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5C6F21"/>
    <w:multiLevelType w:val="hybridMultilevel"/>
    <w:tmpl w:val="4890506E"/>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B167AF"/>
    <w:multiLevelType w:val="hybridMultilevel"/>
    <w:tmpl w:val="C8C01AF2"/>
    <w:lvl w:ilvl="0" w:tplc="13A28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6600A"/>
    <w:multiLevelType w:val="hybridMultilevel"/>
    <w:tmpl w:val="DE145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A7ADD"/>
    <w:multiLevelType w:val="hybridMultilevel"/>
    <w:tmpl w:val="BB367ED6"/>
    <w:lvl w:ilvl="0" w:tplc="AE8485DC">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F334AA"/>
    <w:multiLevelType w:val="hybridMultilevel"/>
    <w:tmpl w:val="0A0E0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C55AC"/>
    <w:multiLevelType w:val="hybridMultilevel"/>
    <w:tmpl w:val="F0F0DBE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F864755"/>
    <w:multiLevelType w:val="hybridMultilevel"/>
    <w:tmpl w:val="A38CDB3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EC3696"/>
    <w:multiLevelType w:val="hybridMultilevel"/>
    <w:tmpl w:val="9AC4C23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3E090F"/>
    <w:multiLevelType w:val="hybridMultilevel"/>
    <w:tmpl w:val="57DAC7B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204216"/>
    <w:multiLevelType w:val="hybridMultilevel"/>
    <w:tmpl w:val="1BE0C7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4C145070"/>
    <w:multiLevelType w:val="hybridMultilevel"/>
    <w:tmpl w:val="59B61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09058CC"/>
    <w:multiLevelType w:val="hybridMultilevel"/>
    <w:tmpl w:val="9686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F1E34"/>
    <w:multiLevelType w:val="hybridMultilevel"/>
    <w:tmpl w:val="E9F62B7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3EA098D"/>
    <w:multiLevelType w:val="hybridMultilevel"/>
    <w:tmpl w:val="1264FF4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7797C43"/>
    <w:multiLevelType w:val="hybridMultilevel"/>
    <w:tmpl w:val="D2AC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90991"/>
    <w:multiLevelType w:val="hybridMultilevel"/>
    <w:tmpl w:val="241CC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03A17"/>
    <w:multiLevelType w:val="hybridMultilevel"/>
    <w:tmpl w:val="9BD4B24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24994005">
    <w:abstractNumId w:val="11"/>
  </w:num>
  <w:num w:numId="2" w16cid:durableId="998926459">
    <w:abstractNumId w:val="3"/>
  </w:num>
  <w:num w:numId="3" w16cid:durableId="161163631">
    <w:abstractNumId w:val="21"/>
  </w:num>
  <w:num w:numId="4" w16cid:durableId="1315839367">
    <w:abstractNumId w:val="17"/>
  </w:num>
  <w:num w:numId="5" w16cid:durableId="1936329475">
    <w:abstractNumId w:val="10"/>
  </w:num>
  <w:num w:numId="6" w16cid:durableId="503934841">
    <w:abstractNumId w:val="18"/>
  </w:num>
  <w:num w:numId="7" w16cid:durableId="900167431">
    <w:abstractNumId w:val="5"/>
  </w:num>
  <w:num w:numId="8" w16cid:durableId="332028080">
    <w:abstractNumId w:val="13"/>
  </w:num>
  <w:num w:numId="9" w16cid:durableId="281809478">
    <w:abstractNumId w:val="14"/>
  </w:num>
  <w:num w:numId="10" w16cid:durableId="718555073">
    <w:abstractNumId w:val="8"/>
  </w:num>
  <w:num w:numId="11" w16cid:durableId="1919168950">
    <w:abstractNumId w:val="1"/>
  </w:num>
  <w:num w:numId="12" w16cid:durableId="1483695162">
    <w:abstractNumId w:val="15"/>
  </w:num>
  <w:num w:numId="13" w16cid:durableId="1173179127">
    <w:abstractNumId w:val="2"/>
  </w:num>
  <w:num w:numId="14" w16cid:durableId="478808462">
    <w:abstractNumId w:val="7"/>
  </w:num>
  <w:num w:numId="15" w16cid:durableId="1323696579">
    <w:abstractNumId w:val="19"/>
  </w:num>
  <w:num w:numId="16" w16cid:durableId="1143350717">
    <w:abstractNumId w:val="16"/>
  </w:num>
  <w:num w:numId="17" w16cid:durableId="736435398">
    <w:abstractNumId w:val="9"/>
  </w:num>
  <w:num w:numId="18" w16cid:durableId="2045127978">
    <w:abstractNumId w:val="12"/>
  </w:num>
  <w:num w:numId="19" w16cid:durableId="1669282563">
    <w:abstractNumId w:val="20"/>
  </w:num>
  <w:num w:numId="20" w16cid:durableId="1673992933">
    <w:abstractNumId w:val="6"/>
  </w:num>
  <w:num w:numId="21" w16cid:durableId="43069871">
    <w:abstractNumId w:val="4"/>
  </w:num>
  <w:num w:numId="22" w16cid:durableId="102702605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1B"/>
    <w:rsid w:val="00015055"/>
    <w:rsid w:val="000262C0"/>
    <w:rsid w:val="000273BC"/>
    <w:rsid w:val="000301BE"/>
    <w:rsid w:val="00043812"/>
    <w:rsid w:val="00046478"/>
    <w:rsid w:val="00052C12"/>
    <w:rsid w:val="000533ED"/>
    <w:rsid w:val="000613F6"/>
    <w:rsid w:val="00064182"/>
    <w:rsid w:val="00070D7E"/>
    <w:rsid w:val="00072A19"/>
    <w:rsid w:val="00073150"/>
    <w:rsid w:val="00077626"/>
    <w:rsid w:val="000813FB"/>
    <w:rsid w:val="00082822"/>
    <w:rsid w:val="0008346C"/>
    <w:rsid w:val="0008623A"/>
    <w:rsid w:val="0008672A"/>
    <w:rsid w:val="000908BB"/>
    <w:rsid w:val="00092C1A"/>
    <w:rsid w:val="00093B80"/>
    <w:rsid w:val="00094039"/>
    <w:rsid w:val="000A0568"/>
    <w:rsid w:val="000A28FB"/>
    <w:rsid w:val="000B7A5A"/>
    <w:rsid w:val="000C6656"/>
    <w:rsid w:val="000C7564"/>
    <w:rsid w:val="000D637E"/>
    <w:rsid w:val="000D73D0"/>
    <w:rsid w:val="000E018C"/>
    <w:rsid w:val="000E1FC4"/>
    <w:rsid w:val="000E342F"/>
    <w:rsid w:val="000E5585"/>
    <w:rsid w:val="000F3081"/>
    <w:rsid w:val="000F7074"/>
    <w:rsid w:val="001046EF"/>
    <w:rsid w:val="001157C4"/>
    <w:rsid w:val="00117C59"/>
    <w:rsid w:val="0012153A"/>
    <w:rsid w:val="001216EA"/>
    <w:rsid w:val="001228F8"/>
    <w:rsid w:val="001233C6"/>
    <w:rsid w:val="00125D73"/>
    <w:rsid w:val="0012664E"/>
    <w:rsid w:val="0013789C"/>
    <w:rsid w:val="001403AF"/>
    <w:rsid w:val="0015065C"/>
    <w:rsid w:val="0015150D"/>
    <w:rsid w:val="00163D5E"/>
    <w:rsid w:val="001653E7"/>
    <w:rsid w:val="00173256"/>
    <w:rsid w:val="001752F2"/>
    <w:rsid w:val="00176A58"/>
    <w:rsid w:val="00180B62"/>
    <w:rsid w:val="001930B3"/>
    <w:rsid w:val="001A16C4"/>
    <w:rsid w:val="001A3F71"/>
    <w:rsid w:val="001A4AEA"/>
    <w:rsid w:val="001A4B0C"/>
    <w:rsid w:val="001A57C7"/>
    <w:rsid w:val="001A5E92"/>
    <w:rsid w:val="001B082D"/>
    <w:rsid w:val="001B7965"/>
    <w:rsid w:val="001C2391"/>
    <w:rsid w:val="001C3394"/>
    <w:rsid w:val="001C3E79"/>
    <w:rsid w:val="001D0FFD"/>
    <w:rsid w:val="001D45DA"/>
    <w:rsid w:val="001E31C5"/>
    <w:rsid w:val="001E5496"/>
    <w:rsid w:val="001F0994"/>
    <w:rsid w:val="001F1F81"/>
    <w:rsid w:val="001F7AD0"/>
    <w:rsid w:val="00204B0D"/>
    <w:rsid w:val="00205AC5"/>
    <w:rsid w:val="00206654"/>
    <w:rsid w:val="00207C99"/>
    <w:rsid w:val="00212205"/>
    <w:rsid w:val="002436DF"/>
    <w:rsid w:val="00253684"/>
    <w:rsid w:val="00253A63"/>
    <w:rsid w:val="002608DC"/>
    <w:rsid w:val="0026272A"/>
    <w:rsid w:val="00264F64"/>
    <w:rsid w:val="0026537F"/>
    <w:rsid w:val="00271FCA"/>
    <w:rsid w:val="00272914"/>
    <w:rsid w:val="00283A7E"/>
    <w:rsid w:val="0028547F"/>
    <w:rsid w:val="00287CD3"/>
    <w:rsid w:val="0029691A"/>
    <w:rsid w:val="002A11FB"/>
    <w:rsid w:val="002A678A"/>
    <w:rsid w:val="002C3A75"/>
    <w:rsid w:val="002C4535"/>
    <w:rsid w:val="002C64F0"/>
    <w:rsid w:val="002C65F8"/>
    <w:rsid w:val="002D1B08"/>
    <w:rsid w:val="002E2E8F"/>
    <w:rsid w:val="002E7026"/>
    <w:rsid w:val="002F612E"/>
    <w:rsid w:val="00301595"/>
    <w:rsid w:val="00301E36"/>
    <w:rsid w:val="00302BEC"/>
    <w:rsid w:val="00304825"/>
    <w:rsid w:val="0030741B"/>
    <w:rsid w:val="00335C29"/>
    <w:rsid w:val="00345C05"/>
    <w:rsid w:val="00353FB9"/>
    <w:rsid w:val="003574C0"/>
    <w:rsid w:val="00367034"/>
    <w:rsid w:val="003717A2"/>
    <w:rsid w:val="00393446"/>
    <w:rsid w:val="003A1C92"/>
    <w:rsid w:val="003A270C"/>
    <w:rsid w:val="003A2FC7"/>
    <w:rsid w:val="003B1292"/>
    <w:rsid w:val="003B17D2"/>
    <w:rsid w:val="003B19FD"/>
    <w:rsid w:val="003B2981"/>
    <w:rsid w:val="003B488D"/>
    <w:rsid w:val="003C19A6"/>
    <w:rsid w:val="003C1CA2"/>
    <w:rsid w:val="003C4752"/>
    <w:rsid w:val="003F0385"/>
    <w:rsid w:val="003F13C1"/>
    <w:rsid w:val="003F60EF"/>
    <w:rsid w:val="00403C57"/>
    <w:rsid w:val="00425BE9"/>
    <w:rsid w:val="0042774F"/>
    <w:rsid w:val="00430A89"/>
    <w:rsid w:val="00431496"/>
    <w:rsid w:val="0043390D"/>
    <w:rsid w:val="00444691"/>
    <w:rsid w:val="00457EE7"/>
    <w:rsid w:val="00472F30"/>
    <w:rsid w:val="0047342D"/>
    <w:rsid w:val="004769A0"/>
    <w:rsid w:val="0048000D"/>
    <w:rsid w:val="00485EF3"/>
    <w:rsid w:val="004871EF"/>
    <w:rsid w:val="00493861"/>
    <w:rsid w:val="00495DAE"/>
    <w:rsid w:val="004A2C99"/>
    <w:rsid w:val="004B4218"/>
    <w:rsid w:val="004B5C28"/>
    <w:rsid w:val="004C1778"/>
    <w:rsid w:val="004D1D42"/>
    <w:rsid w:val="004D2138"/>
    <w:rsid w:val="004D2627"/>
    <w:rsid w:val="004D30C7"/>
    <w:rsid w:val="004E17AE"/>
    <w:rsid w:val="004E4AF0"/>
    <w:rsid w:val="004F0A56"/>
    <w:rsid w:val="004F6B5F"/>
    <w:rsid w:val="005042B3"/>
    <w:rsid w:val="005070F0"/>
    <w:rsid w:val="005126A7"/>
    <w:rsid w:val="00532A4D"/>
    <w:rsid w:val="005349FF"/>
    <w:rsid w:val="00563C35"/>
    <w:rsid w:val="0056751D"/>
    <w:rsid w:val="005754DD"/>
    <w:rsid w:val="005755FB"/>
    <w:rsid w:val="0058031C"/>
    <w:rsid w:val="005926FB"/>
    <w:rsid w:val="005B27A1"/>
    <w:rsid w:val="005B7B31"/>
    <w:rsid w:val="005C167E"/>
    <w:rsid w:val="005C7545"/>
    <w:rsid w:val="005D005E"/>
    <w:rsid w:val="005D03EE"/>
    <w:rsid w:val="005E0C6B"/>
    <w:rsid w:val="005F45AD"/>
    <w:rsid w:val="005F6816"/>
    <w:rsid w:val="006035A4"/>
    <w:rsid w:val="00604811"/>
    <w:rsid w:val="00614939"/>
    <w:rsid w:val="00623582"/>
    <w:rsid w:val="006327CC"/>
    <w:rsid w:val="00634C00"/>
    <w:rsid w:val="0063604D"/>
    <w:rsid w:val="00637CEB"/>
    <w:rsid w:val="00642C78"/>
    <w:rsid w:val="00645C04"/>
    <w:rsid w:val="0064738A"/>
    <w:rsid w:val="006539BF"/>
    <w:rsid w:val="006608C3"/>
    <w:rsid w:val="006727CC"/>
    <w:rsid w:val="00686FF3"/>
    <w:rsid w:val="0069333B"/>
    <w:rsid w:val="00693AC3"/>
    <w:rsid w:val="00695670"/>
    <w:rsid w:val="006A351B"/>
    <w:rsid w:val="006A71A7"/>
    <w:rsid w:val="006C7A7A"/>
    <w:rsid w:val="006D213E"/>
    <w:rsid w:val="006E4A21"/>
    <w:rsid w:val="006E5EA4"/>
    <w:rsid w:val="006F081B"/>
    <w:rsid w:val="006F3F5C"/>
    <w:rsid w:val="006F556F"/>
    <w:rsid w:val="007019E5"/>
    <w:rsid w:val="007119B6"/>
    <w:rsid w:val="00714AD7"/>
    <w:rsid w:val="007157EC"/>
    <w:rsid w:val="00715B38"/>
    <w:rsid w:val="00721B67"/>
    <w:rsid w:val="00722321"/>
    <w:rsid w:val="00754792"/>
    <w:rsid w:val="00757035"/>
    <w:rsid w:val="00764F53"/>
    <w:rsid w:val="0076550C"/>
    <w:rsid w:val="00776094"/>
    <w:rsid w:val="007762AF"/>
    <w:rsid w:val="0078537F"/>
    <w:rsid w:val="007A11FD"/>
    <w:rsid w:val="007A2DE1"/>
    <w:rsid w:val="007B7312"/>
    <w:rsid w:val="007C6A95"/>
    <w:rsid w:val="007D646E"/>
    <w:rsid w:val="007D6DD8"/>
    <w:rsid w:val="007F2723"/>
    <w:rsid w:val="007F659E"/>
    <w:rsid w:val="00804EB0"/>
    <w:rsid w:val="00806F44"/>
    <w:rsid w:val="00807273"/>
    <w:rsid w:val="00812A16"/>
    <w:rsid w:val="00812F48"/>
    <w:rsid w:val="00831C6F"/>
    <w:rsid w:val="00833C43"/>
    <w:rsid w:val="00836A40"/>
    <w:rsid w:val="008502BA"/>
    <w:rsid w:val="008537FD"/>
    <w:rsid w:val="00857201"/>
    <w:rsid w:val="0086174B"/>
    <w:rsid w:val="00861E0F"/>
    <w:rsid w:val="008676A4"/>
    <w:rsid w:val="008728D2"/>
    <w:rsid w:val="00882C01"/>
    <w:rsid w:val="00891F06"/>
    <w:rsid w:val="008B3586"/>
    <w:rsid w:val="008B6906"/>
    <w:rsid w:val="008B6F44"/>
    <w:rsid w:val="008C1175"/>
    <w:rsid w:val="008C1703"/>
    <w:rsid w:val="008D0396"/>
    <w:rsid w:val="008E256B"/>
    <w:rsid w:val="008E2B58"/>
    <w:rsid w:val="008E5244"/>
    <w:rsid w:val="008F23B5"/>
    <w:rsid w:val="008F5C3D"/>
    <w:rsid w:val="008F6A7E"/>
    <w:rsid w:val="008F769E"/>
    <w:rsid w:val="009058C5"/>
    <w:rsid w:val="00912D86"/>
    <w:rsid w:val="00915112"/>
    <w:rsid w:val="00936386"/>
    <w:rsid w:val="009522E5"/>
    <w:rsid w:val="0095281F"/>
    <w:rsid w:val="00970E0C"/>
    <w:rsid w:val="0097185F"/>
    <w:rsid w:val="009738F1"/>
    <w:rsid w:val="00974CF8"/>
    <w:rsid w:val="00975229"/>
    <w:rsid w:val="009761D3"/>
    <w:rsid w:val="0098273E"/>
    <w:rsid w:val="00990DFA"/>
    <w:rsid w:val="00995EAE"/>
    <w:rsid w:val="009A064C"/>
    <w:rsid w:val="009A3F44"/>
    <w:rsid w:val="009B2934"/>
    <w:rsid w:val="009B2F45"/>
    <w:rsid w:val="009B4335"/>
    <w:rsid w:val="009C19F0"/>
    <w:rsid w:val="009D4B26"/>
    <w:rsid w:val="009D6330"/>
    <w:rsid w:val="009D7526"/>
    <w:rsid w:val="009E3058"/>
    <w:rsid w:val="009F2470"/>
    <w:rsid w:val="009F6250"/>
    <w:rsid w:val="00A003CA"/>
    <w:rsid w:val="00A01B6B"/>
    <w:rsid w:val="00A04560"/>
    <w:rsid w:val="00A115DF"/>
    <w:rsid w:val="00A211DD"/>
    <w:rsid w:val="00A242E8"/>
    <w:rsid w:val="00A24478"/>
    <w:rsid w:val="00A24777"/>
    <w:rsid w:val="00A313E7"/>
    <w:rsid w:val="00A3719D"/>
    <w:rsid w:val="00A518CE"/>
    <w:rsid w:val="00A54F9C"/>
    <w:rsid w:val="00A610A1"/>
    <w:rsid w:val="00A6690C"/>
    <w:rsid w:val="00A76D8E"/>
    <w:rsid w:val="00A77B8F"/>
    <w:rsid w:val="00A8769F"/>
    <w:rsid w:val="00A9667A"/>
    <w:rsid w:val="00AB076A"/>
    <w:rsid w:val="00AB4484"/>
    <w:rsid w:val="00AB71DB"/>
    <w:rsid w:val="00AD306C"/>
    <w:rsid w:val="00AD6E66"/>
    <w:rsid w:val="00AE46C5"/>
    <w:rsid w:val="00B1081B"/>
    <w:rsid w:val="00B10F12"/>
    <w:rsid w:val="00B173C9"/>
    <w:rsid w:val="00B20A58"/>
    <w:rsid w:val="00B22CC3"/>
    <w:rsid w:val="00B23BEA"/>
    <w:rsid w:val="00B24024"/>
    <w:rsid w:val="00B3593A"/>
    <w:rsid w:val="00B3657F"/>
    <w:rsid w:val="00B44A6B"/>
    <w:rsid w:val="00B45B21"/>
    <w:rsid w:val="00B5276D"/>
    <w:rsid w:val="00B52E35"/>
    <w:rsid w:val="00B541E0"/>
    <w:rsid w:val="00B54B8E"/>
    <w:rsid w:val="00B550B3"/>
    <w:rsid w:val="00B569CE"/>
    <w:rsid w:val="00B5729C"/>
    <w:rsid w:val="00B5797B"/>
    <w:rsid w:val="00B772E6"/>
    <w:rsid w:val="00B871B3"/>
    <w:rsid w:val="00B91B80"/>
    <w:rsid w:val="00B94EBE"/>
    <w:rsid w:val="00B97BAD"/>
    <w:rsid w:val="00BA1238"/>
    <w:rsid w:val="00BA1241"/>
    <w:rsid w:val="00BC50EE"/>
    <w:rsid w:val="00BD19B4"/>
    <w:rsid w:val="00BD1F79"/>
    <w:rsid w:val="00BE144E"/>
    <w:rsid w:val="00BE2535"/>
    <w:rsid w:val="00BE370B"/>
    <w:rsid w:val="00BF0E66"/>
    <w:rsid w:val="00BF5D02"/>
    <w:rsid w:val="00C01671"/>
    <w:rsid w:val="00C036F3"/>
    <w:rsid w:val="00C06178"/>
    <w:rsid w:val="00C15B37"/>
    <w:rsid w:val="00C173E3"/>
    <w:rsid w:val="00C3270C"/>
    <w:rsid w:val="00C33723"/>
    <w:rsid w:val="00C43F21"/>
    <w:rsid w:val="00C472C9"/>
    <w:rsid w:val="00C476D0"/>
    <w:rsid w:val="00C545A7"/>
    <w:rsid w:val="00C604D6"/>
    <w:rsid w:val="00C6275D"/>
    <w:rsid w:val="00C67C33"/>
    <w:rsid w:val="00C70E5D"/>
    <w:rsid w:val="00C72C0A"/>
    <w:rsid w:val="00C83077"/>
    <w:rsid w:val="00C878A5"/>
    <w:rsid w:val="00C9210E"/>
    <w:rsid w:val="00C92977"/>
    <w:rsid w:val="00C947B2"/>
    <w:rsid w:val="00CA5B7C"/>
    <w:rsid w:val="00CB013C"/>
    <w:rsid w:val="00CB1C6A"/>
    <w:rsid w:val="00CD4ED2"/>
    <w:rsid w:val="00CD785C"/>
    <w:rsid w:val="00CE0F62"/>
    <w:rsid w:val="00CE3793"/>
    <w:rsid w:val="00CE47CF"/>
    <w:rsid w:val="00CE6A7B"/>
    <w:rsid w:val="00CF553C"/>
    <w:rsid w:val="00D0607F"/>
    <w:rsid w:val="00D07016"/>
    <w:rsid w:val="00D1192F"/>
    <w:rsid w:val="00D11D33"/>
    <w:rsid w:val="00D12A23"/>
    <w:rsid w:val="00D12A6B"/>
    <w:rsid w:val="00D162D0"/>
    <w:rsid w:val="00D17C07"/>
    <w:rsid w:val="00D20CBB"/>
    <w:rsid w:val="00D25C2B"/>
    <w:rsid w:val="00D43EB1"/>
    <w:rsid w:val="00D47159"/>
    <w:rsid w:val="00D51B9E"/>
    <w:rsid w:val="00D568FE"/>
    <w:rsid w:val="00D609B9"/>
    <w:rsid w:val="00D60D68"/>
    <w:rsid w:val="00D6124A"/>
    <w:rsid w:val="00D63D68"/>
    <w:rsid w:val="00D73443"/>
    <w:rsid w:val="00D94FA3"/>
    <w:rsid w:val="00D95CE0"/>
    <w:rsid w:val="00DA0214"/>
    <w:rsid w:val="00DA5755"/>
    <w:rsid w:val="00DA5F85"/>
    <w:rsid w:val="00DA6DE8"/>
    <w:rsid w:val="00DA79D7"/>
    <w:rsid w:val="00DB1FC1"/>
    <w:rsid w:val="00DC1B77"/>
    <w:rsid w:val="00DC72CB"/>
    <w:rsid w:val="00DD3AA8"/>
    <w:rsid w:val="00DD724A"/>
    <w:rsid w:val="00DE071F"/>
    <w:rsid w:val="00DE4482"/>
    <w:rsid w:val="00DF1AD9"/>
    <w:rsid w:val="00DF1D86"/>
    <w:rsid w:val="00DF2BAB"/>
    <w:rsid w:val="00DF4DD8"/>
    <w:rsid w:val="00E01041"/>
    <w:rsid w:val="00E018C1"/>
    <w:rsid w:val="00E03CD4"/>
    <w:rsid w:val="00E078E9"/>
    <w:rsid w:val="00E11F36"/>
    <w:rsid w:val="00E1644F"/>
    <w:rsid w:val="00E175EC"/>
    <w:rsid w:val="00E248F9"/>
    <w:rsid w:val="00E26C88"/>
    <w:rsid w:val="00E27076"/>
    <w:rsid w:val="00E338A7"/>
    <w:rsid w:val="00E35854"/>
    <w:rsid w:val="00E36FA5"/>
    <w:rsid w:val="00E3769D"/>
    <w:rsid w:val="00E40A37"/>
    <w:rsid w:val="00E65428"/>
    <w:rsid w:val="00E72890"/>
    <w:rsid w:val="00E862EF"/>
    <w:rsid w:val="00E8730F"/>
    <w:rsid w:val="00E91B0E"/>
    <w:rsid w:val="00EB5B95"/>
    <w:rsid w:val="00EC4B78"/>
    <w:rsid w:val="00EC5431"/>
    <w:rsid w:val="00EE1CC2"/>
    <w:rsid w:val="00EE4CD7"/>
    <w:rsid w:val="00EE6971"/>
    <w:rsid w:val="00EE7616"/>
    <w:rsid w:val="00EF4760"/>
    <w:rsid w:val="00F0288A"/>
    <w:rsid w:val="00F05127"/>
    <w:rsid w:val="00F06F92"/>
    <w:rsid w:val="00F07671"/>
    <w:rsid w:val="00F077A6"/>
    <w:rsid w:val="00F14BFB"/>
    <w:rsid w:val="00F150B1"/>
    <w:rsid w:val="00F260F7"/>
    <w:rsid w:val="00F33B7F"/>
    <w:rsid w:val="00F40A99"/>
    <w:rsid w:val="00F40BB9"/>
    <w:rsid w:val="00F43861"/>
    <w:rsid w:val="00F505DA"/>
    <w:rsid w:val="00F5173C"/>
    <w:rsid w:val="00F57A26"/>
    <w:rsid w:val="00F641AE"/>
    <w:rsid w:val="00F6754A"/>
    <w:rsid w:val="00F72A48"/>
    <w:rsid w:val="00F828FD"/>
    <w:rsid w:val="00F864A0"/>
    <w:rsid w:val="00FA63DA"/>
    <w:rsid w:val="00FA780F"/>
    <w:rsid w:val="00FB6016"/>
    <w:rsid w:val="00FC2C0C"/>
    <w:rsid w:val="00FC5945"/>
    <w:rsid w:val="00FE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DA5E4"/>
  <w15:chartTrackingRefBased/>
  <w15:docId w15:val="{2B1D7596-2947-4FDF-800F-C873B26B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A7E"/>
    <w:pPr>
      <w:spacing w:after="240" w:line="230" w:lineRule="atLeast"/>
      <w:jc w:val="both"/>
    </w:pPr>
    <w:rPr>
      <w:rFonts w:ascii="Arial" w:hAnsi="Arial"/>
      <w:lang w:val="en-GB"/>
    </w:rPr>
  </w:style>
  <w:style w:type="paragraph" w:styleId="Heading1">
    <w:name w:val="heading 1"/>
    <w:basedOn w:val="Normal"/>
    <w:next w:val="Normal"/>
    <w:link w:val="Heading1Char"/>
    <w:qFormat/>
    <w:pPr>
      <w:keepNext/>
      <w:tabs>
        <w:tab w:val="left" w:pos="400"/>
        <w:tab w:val="left" w:pos="560"/>
      </w:tabs>
      <w:suppressAutoHyphens/>
      <w:spacing w:before="270" w:line="-270" w:lineRule="auto"/>
      <w:jc w:val="left"/>
      <w:outlineLvl w:val="0"/>
    </w:pPr>
    <w:rPr>
      <w:b/>
      <w:sz w:val="24"/>
    </w:rPr>
  </w:style>
  <w:style w:type="paragraph" w:styleId="Heading2">
    <w:name w:val="heading 2"/>
    <w:basedOn w:val="Heading1"/>
    <w:next w:val="Normal"/>
    <w:link w:val="Heading2Char"/>
    <w:qFormat/>
    <w:pPr>
      <w:tabs>
        <w:tab w:val="clear" w:pos="400"/>
        <w:tab w:val="clear" w:pos="560"/>
        <w:tab w:val="left" w:pos="540"/>
        <w:tab w:val="left" w:pos="700"/>
      </w:tabs>
      <w:spacing w:before="60" w:line="-250" w:lineRule="auto"/>
      <w:outlineLvl w:val="1"/>
    </w:pPr>
    <w:rPr>
      <w:sz w:val="22"/>
    </w:rPr>
  </w:style>
  <w:style w:type="paragraph" w:styleId="Heading3">
    <w:name w:val="heading 3"/>
    <w:basedOn w:val="Heading1"/>
    <w:next w:val="Normal"/>
    <w:link w:val="Heading3Char"/>
    <w:qFormat/>
    <w:pPr>
      <w:tabs>
        <w:tab w:val="clear" w:pos="400"/>
        <w:tab w:val="clear" w:pos="560"/>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tabs>
        <w:tab w:val="clear" w:pos="540"/>
        <w:tab w:val="clear" w:pos="700"/>
        <w:tab w:val="left" w:pos="500"/>
        <w:tab w:val="left" w:pos="720"/>
      </w:tabs>
      <w:spacing w:before="270" w:line="270" w:lineRule="exact"/>
    </w:pPr>
    <w:rPr>
      <w:sz w:val="24"/>
    </w:rPr>
  </w:style>
  <w:style w:type="paragraph" w:customStyle="1" w:styleId="a3">
    <w:name w:val="a3"/>
    <w:basedOn w:val="Heading3"/>
    <w:next w:val="Normal"/>
    <w:pPr>
      <w:tabs>
        <w:tab w:val="clear" w:pos="660"/>
        <w:tab w:val="left" w:pos="640"/>
      </w:tabs>
      <w:spacing w:line="250" w:lineRule="exact"/>
    </w:pPr>
    <w:rPr>
      <w:sz w:val="22"/>
    </w:rPr>
  </w:style>
  <w:style w:type="paragraph" w:customStyle="1" w:styleId="a4">
    <w:name w:val="a4"/>
    <w:basedOn w:val="Heading4"/>
    <w:next w:val="Normal"/>
    <w:pPr>
      <w:tabs>
        <w:tab w:val="clear" w:pos="940"/>
        <w:tab w:val="clear" w:pos="1140"/>
        <w:tab w:val="clear" w:pos="1360"/>
        <w:tab w:val="left" w:pos="879"/>
        <w:tab w:val="left" w:pos="1060"/>
      </w:tabs>
      <w:spacing w:line="230" w:lineRule="exact"/>
    </w:pPr>
  </w:style>
  <w:style w:type="paragraph" w:customStyle="1" w:styleId="a5">
    <w:name w:val="a5"/>
    <w:basedOn w:val="Heading5"/>
    <w:next w:val="Normal"/>
    <w:pPr>
      <w:tabs>
        <w:tab w:val="clear" w:pos="1080"/>
        <w:tab w:val="left" w:pos="1140"/>
        <w:tab w:val="left" w:pos="1360"/>
      </w:tabs>
      <w:spacing w:line="230" w:lineRule="exact"/>
    </w:pPr>
  </w:style>
  <w:style w:type="paragraph" w:customStyle="1" w:styleId="a6">
    <w:name w:val="a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styleId="Header">
    <w:name w:val="header"/>
    <w:basedOn w:val="Normal"/>
    <w:link w:val="HeaderChar"/>
    <w:pPr>
      <w:spacing w:after="740" w:line="-220" w:lineRule="auto"/>
    </w:pPr>
    <w:rPr>
      <w:b/>
      <w:sz w:val="22"/>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character" w:styleId="CommentReference">
    <w:name w:val="annotation reference"/>
    <w:rsid w:val="003A2FC7"/>
    <w:rPr>
      <w:sz w:val="16"/>
      <w:szCs w:val="16"/>
    </w:rPr>
  </w:style>
  <w:style w:type="paragraph" w:styleId="CommentText">
    <w:name w:val="annotation text"/>
    <w:basedOn w:val="Normal"/>
    <w:link w:val="CommentTextChar"/>
    <w:rsid w:val="003A2FC7"/>
  </w:style>
  <w:style w:type="character" w:customStyle="1" w:styleId="CommentTextChar">
    <w:name w:val="Comment Text Char"/>
    <w:link w:val="CommentText"/>
    <w:rsid w:val="003A2FC7"/>
    <w:rPr>
      <w:rFonts w:ascii="Arial" w:hAnsi="Arial"/>
      <w:lang w:eastAsia="en-US"/>
    </w:rPr>
  </w:style>
  <w:style w:type="paragraph" w:styleId="CommentSubject">
    <w:name w:val="annotation subject"/>
    <w:basedOn w:val="CommentText"/>
    <w:next w:val="CommentText"/>
    <w:link w:val="CommentSubjectChar"/>
    <w:rsid w:val="003A2FC7"/>
    <w:rPr>
      <w:b/>
      <w:bCs/>
    </w:rPr>
  </w:style>
  <w:style w:type="character" w:customStyle="1" w:styleId="CommentSubjectChar">
    <w:name w:val="Comment Subject Char"/>
    <w:link w:val="CommentSubject"/>
    <w:rsid w:val="003A2FC7"/>
    <w:rPr>
      <w:rFonts w:ascii="Arial" w:hAnsi="Arial"/>
      <w:b/>
      <w:bCs/>
      <w:lang w:eastAsia="en-US"/>
    </w:rPr>
  </w:style>
  <w:style w:type="paragraph" w:styleId="BalloonText">
    <w:name w:val="Balloon Text"/>
    <w:basedOn w:val="Normal"/>
    <w:link w:val="BalloonTextChar"/>
    <w:rsid w:val="003A2FC7"/>
    <w:pPr>
      <w:spacing w:after="0" w:line="240" w:lineRule="auto"/>
    </w:pPr>
    <w:rPr>
      <w:rFonts w:ascii="Segoe UI" w:hAnsi="Segoe UI" w:cs="Segoe UI"/>
      <w:sz w:val="18"/>
      <w:szCs w:val="18"/>
    </w:rPr>
  </w:style>
  <w:style w:type="character" w:customStyle="1" w:styleId="BalloonTextChar">
    <w:name w:val="Balloon Text Char"/>
    <w:link w:val="BalloonText"/>
    <w:rsid w:val="003A2FC7"/>
    <w:rPr>
      <w:rFonts w:ascii="Segoe UI" w:hAnsi="Segoe UI" w:cs="Segoe UI"/>
      <w:sz w:val="18"/>
      <w:szCs w:val="18"/>
      <w:lang w:eastAsia="en-US"/>
    </w:rPr>
  </w:style>
  <w:style w:type="character" w:customStyle="1" w:styleId="HeaderChar">
    <w:name w:val="Header Char"/>
    <w:link w:val="Header"/>
    <w:rsid w:val="00C604D6"/>
    <w:rPr>
      <w:rFonts w:ascii="Arial" w:hAnsi="Arial"/>
      <w:b/>
      <w:sz w:val="22"/>
      <w:lang w:val="en-GB" w:eastAsia="en-US"/>
    </w:rPr>
  </w:style>
  <w:style w:type="paragraph" w:styleId="Caption">
    <w:name w:val="caption"/>
    <w:basedOn w:val="Normal"/>
    <w:next w:val="Normal"/>
    <w:unhideWhenUsed/>
    <w:qFormat/>
    <w:rsid w:val="00C43F21"/>
    <w:rPr>
      <w:b/>
      <w:bCs/>
    </w:rPr>
  </w:style>
  <w:style w:type="table" w:styleId="TableGrid">
    <w:name w:val="Table Grid"/>
    <w:basedOn w:val="TableNormal"/>
    <w:rsid w:val="00C4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9A0"/>
    <w:pPr>
      <w:autoSpaceDE w:val="0"/>
      <w:autoSpaceDN w:val="0"/>
      <w:adjustRightInd w:val="0"/>
    </w:pPr>
    <w:rPr>
      <w:rFonts w:ascii="Arial" w:hAnsi="Arial" w:cs="Arial"/>
      <w:color w:val="000000"/>
      <w:sz w:val="24"/>
      <w:szCs w:val="24"/>
      <w:lang w:val="en-GB" w:eastAsia="en-GB"/>
    </w:rPr>
  </w:style>
  <w:style w:type="character" w:customStyle="1" w:styleId="Heading1Char">
    <w:name w:val="Heading 1 Char"/>
    <w:link w:val="Heading1"/>
    <w:rsid w:val="001A4B0C"/>
    <w:rPr>
      <w:rFonts w:ascii="Arial" w:hAnsi="Arial"/>
      <w:b/>
      <w:sz w:val="24"/>
      <w:lang w:val="en-GB" w:eastAsia="en-US"/>
    </w:rPr>
  </w:style>
  <w:style w:type="character" w:customStyle="1" w:styleId="Heading2Char">
    <w:name w:val="Heading 2 Char"/>
    <w:link w:val="Heading2"/>
    <w:rsid w:val="001A4B0C"/>
    <w:rPr>
      <w:rFonts w:ascii="Arial" w:hAnsi="Arial"/>
      <w:b/>
      <w:sz w:val="22"/>
      <w:lang w:val="en-GB" w:eastAsia="en-US"/>
    </w:rPr>
  </w:style>
  <w:style w:type="character" w:customStyle="1" w:styleId="Heading3Char">
    <w:name w:val="Heading 3 Char"/>
    <w:link w:val="Heading3"/>
    <w:rsid w:val="001A4B0C"/>
    <w:rPr>
      <w:rFonts w:ascii="Arial" w:hAnsi="Arial"/>
      <w:b/>
      <w:lang w:val="en-GB" w:eastAsia="en-US"/>
    </w:rPr>
  </w:style>
  <w:style w:type="paragraph" w:styleId="Revision">
    <w:name w:val="Revision"/>
    <w:hidden/>
    <w:uiPriority w:val="99"/>
    <w:semiHidden/>
    <w:rsid w:val="00AD6E66"/>
    <w:rPr>
      <w:rFonts w:ascii="Arial" w:hAnsi="Arial"/>
      <w:lang w:val="en-GB"/>
    </w:rPr>
  </w:style>
  <w:style w:type="paragraph" w:customStyle="1" w:styleId="ISOComments">
    <w:name w:val="ISO_Comments"/>
    <w:basedOn w:val="Normal"/>
    <w:rsid w:val="00A242E8"/>
    <w:pPr>
      <w:spacing w:before="210" w:line="210" w:lineRule="exact"/>
      <w:jc w:val="left"/>
    </w:pPr>
    <w:rPr>
      <w:sz w:val="18"/>
    </w:rPr>
  </w:style>
  <w:style w:type="paragraph" w:customStyle="1" w:styleId="ISOChange">
    <w:name w:val="ISO_Change"/>
    <w:basedOn w:val="Normal"/>
    <w:rsid w:val="00A242E8"/>
    <w:pPr>
      <w:spacing w:before="210" w:after="0" w:line="210" w:lineRule="exact"/>
      <w:jc w:val="left"/>
    </w:pPr>
    <w:rPr>
      <w:sz w:val="18"/>
    </w:rPr>
  </w:style>
  <w:style w:type="paragraph" w:styleId="ListParagraph">
    <w:name w:val="List Paragraph"/>
    <w:basedOn w:val="Normal"/>
    <w:uiPriority w:val="34"/>
    <w:qFormat/>
    <w:rsid w:val="00B173C9"/>
    <w:pPr>
      <w:spacing w:before="270" w:line="240" w:lineRule="auto"/>
      <w:ind w:left="720"/>
      <w:contextualSpacing/>
    </w:pPr>
    <w:rPr>
      <w:rFonts w:ascii="Book Antiqua" w:eastAsia="Calibri" w:hAnsi="Book Antiqua"/>
      <w:szCs w:val="22"/>
    </w:rPr>
  </w:style>
  <w:style w:type="character" w:customStyle="1" w:styleId="ui-provider">
    <w:name w:val="ui-provider"/>
    <w:basedOn w:val="DefaultParagraphFont"/>
    <w:rsid w:val="00367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92072">
      <w:bodyDiv w:val="1"/>
      <w:marLeft w:val="0"/>
      <w:marRight w:val="0"/>
      <w:marTop w:val="0"/>
      <w:marBottom w:val="0"/>
      <w:divBdr>
        <w:top w:val="none" w:sz="0" w:space="0" w:color="auto"/>
        <w:left w:val="none" w:sz="0" w:space="0" w:color="auto"/>
        <w:bottom w:val="none" w:sz="0" w:space="0" w:color="auto"/>
        <w:right w:val="none" w:sz="0" w:space="0" w:color="auto"/>
      </w:divBdr>
    </w:div>
    <w:div w:id="18767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so.org/ob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asicen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9BCF-C041-4F0B-AA60-2F3B1AA3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basicen3</Template>
  <TotalTime>3</TotalTime>
  <Pages>11</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EAS Template</vt:lpstr>
    </vt:vector>
  </TitlesOfParts>
  <Company>ISO</Company>
  <LinksUpToDate>false</LinksUpToDate>
  <CharactersWithSpaces>10451</CharactersWithSpaces>
  <SharedDoc>false</SharedDoc>
  <HLinks>
    <vt:vector size="6" baseType="variant">
      <vt:variant>
        <vt:i4>3801138</vt:i4>
      </vt:variant>
      <vt:variant>
        <vt:i4>0</vt:i4>
      </vt:variant>
      <vt:variant>
        <vt:i4>0</vt:i4>
      </vt:variant>
      <vt:variant>
        <vt:i4>5</vt:i4>
      </vt:variant>
      <vt:variant>
        <vt:lpwstr>http://www.iso.org/obp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Template</dc:title>
  <dc:subject/>
  <dc:creator>*</dc:creator>
  <cp:keywords/>
  <cp:lastModifiedBy>Mary Ngotho</cp:lastModifiedBy>
  <cp:revision>3</cp:revision>
  <cp:lastPrinted>2021-10-29T06:26:00Z</cp:lastPrinted>
  <dcterms:created xsi:type="dcterms:W3CDTF">2024-05-30T06:02:00Z</dcterms:created>
  <dcterms:modified xsi:type="dcterms:W3CDTF">2024-05-30T06:15:00Z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a7651f927b68328edd1d9f4ed9750fc73797884a15664ff5858781b62cf62820</vt:lpwstr>
  </property>
</Properties>
</file>