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556197"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t xml:space="preserve">APPENDIX </w:t>
      </w:r>
      <w:r w:rsidR="001A16FD">
        <w:t>DD</w:t>
      </w:r>
      <w:r>
        <w:br/>
      </w:r>
      <w:r w:rsidR="007D7BDE" w:rsidRPr="097CA544">
        <w:rPr>
          <w:rFonts w:ascii="Arial Narrow" w:hAnsi="Arial Narrow"/>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556197" w:rsidRDefault="007D7BDE" w:rsidP="1679E159">
      <w:pPr>
        <w:autoSpaceDE w:val="0"/>
        <w:autoSpaceDN w:val="0"/>
        <w:adjustRightInd w:val="0"/>
        <w:jc w:val="right"/>
        <w:rPr>
          <w:rFonts w:ascii="Arial Narrow" w:hAnsi="Arial Narrow" w:cs="Arial"/>
          <w:b/>
          <w:bCs/>
          <w:lang w:val="nl-NL"/>
        </w:rPr>
      </w:pPr>
      <w:r w:rsidRPr="097CA544">
        <w:rPr>
          <w:rFonts w:ascii="Arial Narrow" w:hAnsi="Arial Narrow" w:cs="Arial"/>
          <w:b/>
          <w:bCs/>
          <w:lang w:val="nl-NL"/>
        </w:rPr>
        <w:t>CPR183/F1</w:t>
      </w:r>
      <w:r w:rsidR="130362BE" w:rsidRPr="097CA544">
        <w:rPr>
          <w:rFonts w:ascii="Arial Narrow" w:hAnsi="Arial Narrow" w:cs="Arial"/>
          <w:b/>
          <w:bCs/>
          <w:lang w:val="nl-NL"/>
        </w:rPr>
        <w:t>2</w:t>
      </w:r>
    </w:p>
    <w:p w14:paraId="672A6659" w14:textId="77777777" w:rsidR="007D7BDE" w:rsidRPr="00556197" w:rsidRDefault="007D7BDE" w:rsidP="007D7BDE">
      <w:pPr>
        <w:autoSpaceDE w:val="0"/>
        <w:autoSpaceDN w:val="0"/>
        <w:adjustRightInd w:val="0"/>
        <w:jc w:val="center"/>
        <w:rPr>
          <w:rFonts w:ascii="Arial Narrow" w:hAnsi="Arial Narrow" w:cs="Arial"/>
          <w:b/>
          <w:bCs/>
          <w:lang w:val="nl-NL"/>
        </w:rPr>
      </w:pPr>
    </w:p>
    <w:p w14:paraId="576BF044" w14:textId="77777777" w:rsidR="007D7BDE" w:rsidRPr="00556197" w:rsidRDefault="007D7BDE" w:rsidP="007D7BDE">
      <w:pPr>
        <w:autoSpaceDE w:val="0"/>
        <w:autoSpaceDN w:val="0"/>
        <w:adjustRightInd w:val="0"/>
        <w:jc w:val="center"/>
        <w:rPr>
          <w:rFonts w:ascii="Arial Narrow" w:hAnsi="Arial Narrow" w:cs="Arial"/>
          <w:b/>
          <w:bCs/>
        </w:rPr>
      </w:pPr>
      <w:r w:rsidRPr="00556197">
        <w:rPr>
          <w:rFonts w:ascii="Arial Narrow" w:hAnsi="Arial Narrow" w:cs="Arial"/>
          <w:b/>
          <w:bCs/>
        </w:rPr>
        <w:t>KENYA BUREAU OF STANDARDS</w:t>
      </w:r>
    </w:p>
    <w:p w14:paraId="5DAB6C7B" w14:textId="77777777" w:rsidR="007D7BDE" w:rsidRPr="00556197" w:rsidRDefault="007D7BDE" w:rsidP="00B01B56">
      <w:pPr>
        <w:autoSpaceDE w:val="0"/>
        <w:autoSpaceDN w:val="0"/>
        <w:adjustRightInd w:val="0"/>
        <w:rPr>
          <w:rFonts w:ascii="Arial Narrow" w:hAnsi="Arial Narrow" w:cs="Arial"/>
          <w:b/>
          <w:bCs/>
        </w:rPr>
      </w:pPr>
    </w:p>
    <w:p w14:paraId="02EB378F" w14:textId="77777777" w:rsidR="007D7BDE" w:rsidRPr="00556197" w:rsidRDefault="007D7BDE" w:rsidP="007D7BDE">
      <w:pPr>
        <w:autoSpaceDE w:val="0"/>
        <w:autoSpaceDN w:val="0"/>
        <w:adjustRightInd w:val="0"/>
        <w:jc w:val="cente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3962"/>
        <w:gridCol w:w="2913"/>
      </w:tblGrid>
      <w:tr w:rsidR="007D7BDE" w:rsidRPr="00556197"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556197" w:rsidRDefault="007D7BDE" w:rsidP="00D4138E">
            <w:pPr>
              <w:autoSpaceDE w:val="0"/>
              <w:autoSpaceDN w:val="0"/>
              <w:adjustRightInd w:val="0"/>
              <w:rPr>
                <w:rFonts w:ascii="Arial Narrow" w:hAnsi="Arial Narrow"/>
              </w:rPr>
            </w:pPr>
            <w:r w:rsidRPr="00556197">
              <w:rPr>
                <w:rFonts w:ascii="Arial Narrow" w:hAnsi="Arial Narrow" w:cs="Arial"/>
                <w:b/>
                <w:bCs/>
              </w:rPr>
              <w:t>Adoption proposal</w:t>
            </w:r>
          </w:p>
        </w:tc>
      </w:tr>
      <w:tr w:rsidR="007D7BDE" w:rsidRPr="00556197"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Narrow" w:hAnsi="Arial Narrow"/>
              </w:rPr>
            </w:pPr>
            <w:r w:rsidRPr="00556197">
              <w:rPr>
                <w:rFonts w:ascii="Arial Narrow" w:hAnsi="Arial Narrow"/>
              </w:rPr>
              <w:t>Closing date</w:t>
            </w:r>
          </w:p>
        </w:tc>
      </w:tr>
      <w:tr w:rsidR="007D7BDE" w:rsidRPr="00556197"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556197" w:rsidRDefault="007D7BDE" w:rsidP="00D4138E">
            <w:pPr>
              <w:tabs>
                <w:tab w:val="center" w:pos="4320"/>
                <w:tab w:val="right" w:pos="8640"/>
              </w:tabs>
              <w:rPr>
                <w:rFonts w:ascii="Arial Narrow" w:hAnsi="Arial Narrow"/>
                <w:b/>
              </w:rPr>
            </w:pPr>
          </w:p>
        </w:tc>
        <w:tc>
          <w:tcPr>
            <w:tcW w:w="4050" w:type="dxa"/>
            <w:tcBorders>
              <w:top w:val="single" w:sz="4" w:space="0" w:color="auto"/>
              <w:left w:val="single" w:sz="4" w:space="0" w:color="auto"/>
              <w:bottom w:val="single" w:sz="4" w:space="0" w:color="auto"/>
              <w:right w:val="single" w:sz="4" w:space="0" w:color="auto"/>
            </w:tcBorders>
          </w:tcPr>
          <w:p w14:paraId="5A370B1F" w14:textId="2DD86E99" w:rsidR="007D7BDE" w:rsidRPr="00556197" w:rsidRDefault="0064061E" w:rsidP="00D4138E">
            <w:pPr>
              <w:tabs>
                <w:tab w:val="center" w:pos="4320"/>
                <w:tab w:val="right" w:pos="8640"/>
              </w:tabs>
              <w:rPr>
                <w:rFonts w:ascii="Arial Narrow" w:hAnsi="Arial Narrow"/>
              </w:rPr>
            </w:pPr>
            <w:r>
              <w:rPr>
                <w:rFonts w:ascii="Arial Narrow" w:hAnsi="Arial Narrow"/>
              </w:rPr>
              <w:t>2024/0</w:t>
            </w:r>
            <w:r w:rsidR="00BE0CED">
              <w:rPr>
                <w:rFonts w:ascii="Arial Narrow" w:hAnsi="Arial Narrow"/>
              </w:rPr>
              <w:t>5</w:t>
            </w:r>
            <w:r>
              <w:rPr>
                <w:rFonts w:ascii="Arial Narrow" w:hAnsi="Arial Narrow"/>
              </w:rPr>
              <w:t>/</w:t>
            </w:r>
            <w:r w:rsidR="00BE0CED">
              <w:rPr>
                <w:rFonts w:ascii="Arial Narrow" w:hAnsi="Arial Narrow"/>
              </w:rPr>
              <w:t>06</w:t>
            </w:r>
          </w:p>
        </w:tc>
        <w:tc>
          <w:tcPr>
            <w:tcW w:w="2970" w:type="dxa"/>
            <w:tcBorders>
              <w:top w:val="single" w:sz="4" w:space="0" w:color="auto"/>
              <w:left w:val="single" w:sz="4" w:space="0" w:color="auto"/>
              <w:bottom w:val="single" w:sz="4" w:space="0" w:color="auto"/>
              <w:right w:val="single" w:sz="4" w:space="0" w:color="auto"/>
            </w:tcBorders>
          </w:tcPr>
          <w:p w14:paraId="4F25474E" w14:textId="2B598B35" w:rsidR="007D7BDE" w:rsidRPr="00556197" w:rsidRDefault="0064061E" w:rsidP="00D4138E">
            <w:pPr>
              <w:tabs>
                <w:tab w:val="center" w:pos="4320"/>
                <w:tab w:val="right" w:pos="8640"/>
              </w:tabs>
              <w:rPr>
                <w:rFonts w:ascii="Arial Narrow" w:hAnsi="Arial Narrow"/>
              </w:rPr>
            </w:pPr>
            <w:r>
              <w:rPr>
                <w:rFonts w:ascii="Arial Narrow" w:hAnsi="Arial Narrow"/>
              </w:rPr>
              <w:t>2024/0</w:t>
            </w:r>
            <w:r w:rsidR="00BE0CED">
              <w:rPr>
                <w:rFonts w:ascii="Arial Narrow" w:hAnsi="Arial Narrow"/>
              </w:rPr>
              <w:t>6</w:t>
            </w:r>
            <w:r w:rsidR="00A34DC0">
              <w:rPr>
                <w:rFonts w:ascii="Arial Narrow" w:hAnsi="Arial Narrow"/>
              </w:rPr>
              <w:t>/</w:t>
            </w:r>
            <w:r w:rsidR="00BE0CED">
              <w:rPr>
                <w:rFonts w:ascii="Arial Narrow" w:hAnsi="Arial Narrow"/>
              </w:rPr>
              <w:t>06</w:t>
            </w:r>
          </w:p>
        </w:tc>
      </w:tr>
      <w:tr w:rsidR="007D7BDE" w:rsidRPr="00556197"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Narrow" w:hAnsi="Arial Narrow"/>
                <w:b/>
              </w:rPr>
            </w:pPr>
            <w:r w:rsidRPr="00556197">
              <w:rPr>
                <w:rFonts w:ascii="Arial Narrow" w:hAnsi="Arial Narrow"/>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B70D093" w14:textId="06F01343" w:rsidR="007D7BDE" w:rsidRDefault="007D7BDE" w:rsidP="00D4138E">
            <w:pPr>
              <w:tabs>
                <w:tab w:val="center" w:pos="4320"/>
                <w:tab w:val="right" w:pos="8640"/>
              </w:tabs>
              <w:rPr>
                <w:rFonts w:ascii="Arial Narrow" w:hAnsi="Arial Narrow" w:cs="Arial"/>
                <w:b/>
                <w:bCs/>
              </w:rPr>
            </w:pPr>
            <w:r w:rsidRPr="00556197">
              <w:rPr>
                <w:rFonts w:ascii="Arial Narrow" w:hAnsi="Arial Narrow" w:cs="Arial"/>
                <w:b/>
                <w:bCs/>
              </w:rPr>
              <w:t xml:space="preserve">This form shall be filled, signed and returned to Kenya Bureau of Standards for the attention of </w:t>
            </w:r>
            <w:r w:rsidR="0064061E">
              <w:rPr>
                <w:rFonts w:ascii="Arial Narrow" w:hAnsi="Arial Narrow" w:cs="Arial"/>
                <w:b/>
                <w:bCs/>
              </w:rPr>
              <w:t xml:space="preserve">Robert Njoroge </w:t>
            </w:r>
            <w:hyperlink r:id="rId10" w:history="1">
              <w:r w:rsidR="00A227BA" w:rsidRPr="00157685">
                <w:rPr>
                  <w:rStyle w:val="Hyperlink"/>
                  <w:rFonts w:ascii="Arial Narrow" w:hAnsi="Arial Narrow" w:cs="Arial"/>
                  <w:b/>
                  <w:bCs/>
                </w:rPr>
                <w:t>njoroger@kebs.org</w:t>
              </w:r>
            </w:hyperlink>
          </w:p>
          <w:p w14:paraId="07578D7B" w14:textId="39754934" w:rsidR="00A227BA" w:rsidRPr="00556197" w:rsidRDefault="00A227BA" w:rsidP="00D4138E">
            <w:pPr>
              <w:tabs>
                <w:tab w:val="center" w:pos="4320"/>
                <w:tab w:val="right" w:pos="8640"/>
              </w:tabs>
              <w:rPr>
                <w:rFonts w:ascii="Arial Narrow" w:hAnsi="Arial Narrow"/>
              </w:rPr>
            </w:pPr>
          </w:p>
        </w:tc>
      </w:tr>
    </w:tbl>
    <w:p w14:paraId="5A39BBE3" w14:textId="77777777" w:rsidR="007D7BDE" w:rsidRPr="00556197" w:rsidRDefault="007D7BDE" w:rsidP="007D7BDE">
      <w:pPr>
        <w:autoSpaceDE w:val="0"/>
        <w:autoSpaceDN w:val="0"/>
        <w:adjustRightInd w:val="0"/>
        <w:jc w:val="center"/>
        <w:rPr>
          <w:rFonts w:ascii="Arial Narrow" w:hAnsi="Arial Narrow" w:cs="Arial"/>
          <w:b/>
          <w:bCs/>
        </w:rPr>
      </w:pPr>
    </w:p>
    <w:p w14:paraId="41C8F396" w14:textId="77777777" w:rsidR="007D7BDE" w:rsidRPr="00556197" w:rsidRDefault="007D7BDE" w:rsidP="007D7BDE">
      <w:pPr>
        <w:autoSpaceDE w:val="0"/>
        <w:autoSpaceDN w:val="0"/>
        <w:adjustRightInd w:val="0"/>
        <w:jc w:val="both"/>
        <w:rPr>
          <w:rFonts w:ascii="Arial Narrow" w:hAnsi="Arial Narrow" w:cs="Arial"/>
        </w:rPr>
      </w:pPr>
    </w:p>
    <w:p w14:paraId="4F3DA8C1"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The Kenya Bureau of Standards intends to adopt the International Standards as detailed here below .............................................................................................................................................</w:t>
      </w:r>
    </w:p>
    <w:p w14:paraId="72A3D3EC" w14:textId="77777777" w:rsidR="007D7BDE" w:rsidRPr="00556197" w:rsidRDefault="007D7BDE" w:rsidP="007D7BDE">
      <w:pPr>
        <w:autoSpaceDE w:val="0"/>
        <w:autoSpaceDN w:val="0"/>
        <w:adjustRightInd w:val="0"/>
        <w:jc w:val="both"/>
        <w:rPr>
          <w:rFonts w:ascii="Arial Narrow" w:hAnsi="Arial Narrow" w:cs="Arial"/>
        </w:rPr>
      </w:pPr>
    </w:p>
    <w:p w14:paraId="4EBE652B" w14:textId="089D608F" w:rsidR="00BE236B" w:rsidRPr="00BE236B" w:rsidRDefault="00BE236B" w:rsidP="00BE236B">
      <w:pPr>
        <w:pStyle w:val="ListParagraph"/>
        <w:numPr>
          <w:ilvl w:val="0"/>
          <w:numId w:val="7"/>
        </w:numPr>
        <w:autoSpaceDE w:val="0"/>
        <w:autoSpaceDN w:val="0"/>
        <w:adjustRightInd w:val="0"/>
        <w:spacing w:before="120" w:after="120"/>
        <w:jc w:val="both"/>
        <w:rPr>
          <w:rFonts w:ascii="Arial" w:hAnsi="Arial" w:cs="Arial"/>
        </w:rPr>
      </w:pPr>
      <w:r w:rsidRPr="00BE236B">
        <w:rPr>
          <w:rFonts w:ascii="Arial" w:hAnsi="Arial" w:cs="Arial"/>
          <w:b/>
        </w:rPr>
        <w:t>Number</w:t>
      </w:r>
      <w:r w:rsidRPr="00BE236B">
        <w:rPr>
          <w:rFonts w:ascii="Arial" w:hAnsi="Arial" w:cs="Arial"/>
        </w:rPr>
        <w:t>:</w:t>
      </w:r>
      <w:r w:rsidRPr="00A5709E">
        <w:t xml:space="preserve"> </w:t>
      </w:r>
      <w:r w:rsidR="00BE0CED" w:rsidRPr="00BE0CED">
        <w:rPr>
          <w:rFonts w:ascii="Arial" w:hAnsi="Arial" w:cs="Arial"/>
          <w:color w:val="FF0000"/>
          <w:u w:val="dotted"/>
        </w:rPr>
        <w:t>IEC 62196-1:2022</w:t>
      </w:r>
    </w:p>
    <w:p w14:paraId="258791F4" w14:textId="43A5B1E1" w:rsidR="00531757" w:rsidRDefault="00BE236B" w:rsidP="00BE0CED">
      <w:pPr>
        <w:autoSpaceDE w:val="0"/>
        <w:autoSpaceDN w:val="0"/>
        <w:adjustRightInd w:val="0"/>
        <w:ind w:left="851"/>
        <w:rPr>
          <w:rFonts w:ascii="Arial" w:hAnsi="Arial" w:cs="Arial"/>
          <w:u w:val="dotted"/>
        </w:rPr>
      </w:pPr>
      <w:r w:rsidRPr="006923A5">
        <w:rPr>
          <w:rFonts w:ascii="Arial" w:hAnsi="Arial" w:cs="Arial"/>
          <w:b/>
        </w:rPr>
        <w:t>Title</w:t>
      </w:r>
      <w:r w:rsidRPr="006923A5">
        <w:rPr>
          <w:rFonts w:ascii="Arial" w:hAnsi="Arial" w:cs="Arial"/>
        </w:rPr>
        <w:t xml:space="preserve">: </w:t>
      </w:r>
      <w:r w:rsidR="00BE0CED" w:rsidRPr="00BE0CED">
        <w:rPr>
          <w:rFonts w:ascii="Arial" w:hAnsi="Arial" w:cs="Arial"/>
          <w:u w:val="dotted"/>
        </w:rPr>
        <w:t>Plugs, socket-outlets, vehicle connectors and vehicle inlets - Conductive charging of electric vehicles - Part 1: General requirements</w:t>
      </w:r>
    </w:p>
    <w:p w14:paraId="64D16001" w14:textId="77777777" w:rsidR="00BE0CED" w:rsidRPr="00531757" w:rsidRDefault="00BE0CED" w:rsidP="00BE0CED">
      <w:pPr>
        <w:autoSpaceDE w:val="0"/>
        <w:autoSpaceDN w:val="0"/>
        <w:adjustRightInd w:val="0"/>
        <w:ind w:left="851"/>
        <w:rPr>
          <w:rFonts w:ascii="Arial" w:hAnsi="Arial" w:cs="Arial"/>
          <w:u w:val="dotted"/>
        </w:rPr>
      </w:pPr>
    </w:p>
    <w:p w14:paraId="5441D816" w14:textId="77777777" w:rsidR="00BE0CED" w:rsidRDefault="00BE236B" w:rsidP="00BE0CED">
      <w:pPr>
        <w:tabs>
          <w:tab w:val="right" w:leader="dot" w:pos="9000"/>
        </w:tabs>
        <w:autoSpaceDE w:val="0"/>
        <w:autoSpaceDN w:val="0"/>
        <w:adjustRightInd w:val="0"/>
        <w:ind w:left="360"/>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rsidR="00BE0CED">
        <w:t>IEC 62196-1:2022 is applicable to EV plugs, EV socket-outlets, vehicle connectors, vehicle inlets, herein referred to as "accessories", and to cable assemblies for electric vehicles (EV) intended for use in conductive charging systems which incorporate control means, with a rated operating voltage not exceeding:</w:t>
      </w:r>
      <w:r w:rsidR="00BE0CED">
        <w:br/>
        <w:t>690 V AC 50 Hz to 60 Hz, at a rated current not exceeding 250 A;</w:t>
      </w:r>
      <w:r w:rsidR="00BE0CED">
        <w:br/>
        <w:t>1 500 V DC at a rated current not exceeding 800 A.</w:t>
      </w:r>
      <w:r w:rsidR="00BE0CED">
        <w:br/>
        <w:t xml:space="preserve">This fourth edition cancels and replaces the third edition published in 2014. </w:t>
      </w:r>
    </w:p>
    <w:p w14:paraId="2970D26A" w14:textId="1CBBC055" w:rsidR="00A34DC0" w:rsidRDefault="00A34DC0" w:rsidP="00BE0CED">
      <w:pPr>
        <w:tabs>
          <w:tab w:val="right" w:leader="dot" w:pos="9000"/>
        </w:tabs>
        <w:autoSpaceDE w:val="0"/>
        <w:autoSpaceDN w:val="0"/>
        <w:adjustRightInd w:val="0"/>
        <w:ind w:left="360"/>
      </w:pPr>
      <w:r>
        <w:rPr>
          <w:lang w:val="en-GB"/>
        </w:rPr>
        <w:t xml:space="preserve">        </w:t>
      </w:r>
      <w:hyperlink r:id="rId11" w:history="1">
        <w:r w:rsidR="00BE0CED" w:rsidRPr="006406DB">
          <w:rPr>
            <w:rStyle w:val="Hyperlink"/>
          </w:rPr>
          <w:t>https://webstore.iec.ch/publication/59922#additionalinfo</w:t>
        </w:r>
      </w:hyperlink>
    </w:p>
    <w:p w14:paraId="136C7138" w14:textId="77777777" w:rsidR="00BE0CED" w:rsidRPr="00531757" w:rsidRDefault="00BE0CED" w:rsidP="00BE0CED">
      <w:pPr>
        <w:tabs>
          <w:tab w:val="right" w:leader="dot" w:pos="9000"/>
        </w:tabs>
        <w:autoSpaceDE w:val="0"/>
        <w:autoSpaceDN w:val="0"/>
        <w:adjustRightInd w:val="0"/>
        <w:ind w:left="360"/>
        <w:rPr>
          <w:lang w:val="en-KE"/>
        </w:rPr>
      </w:pPr>
    </w:p>
    <w:p w14:paraId="7FFD15DA" w14:textId="77777777" w:rsidR="00BE0CED" w:rsidRPr="00BE0CED" w:rsidRDefault="00BE236B" w:rsidP="009654A7">
      <w:pPr>
        <w:pStyle w:val="ListParagraph"/>
        <w:numPr>
          <w:ilvl w:val="0"/>
          <w:numId w:val="7"/>
        </w:numPr>
        <w:autoSpaceDE w:val="0"/>
        <w:autoSpaceDN w:val="0"/>
        <w:adjustRightInd w:val="0"/>
        <w:spacing w:before="120" w:after="120"/>
        <w:ind w:left="1276" w:hanging="1276"/>
        <w:jc w:val="both"/>
        <w:rPr>
          <w:rFonts w:ascii="Arial" w:hAnsi="Arial" w:cs="Arial"/>
          <w:u w:val="dotted"/>
        </w:rPr>
      </w:pPr>
      <w:r w:rsidRPr="00BE0CED">
        <w:rPr>
          <w:rFonts w:ascii="Arial" w:hAnsi="Arial" w:cs="Arial"/>
          <w:b/>
        </w:rPr>
        <w:t>Number</w:t>
      </w:r>
      <w:r w:rsidRPr="00BE0CED">
        <w:rPr>
          <w:rFonts w:ascii="Arial" w:hAnsi="Arial" w:cs="Arial"/>
        </w:rPr>
        <w:t>:</w:t>
      </w:r>
      <w:r w:rsidR="00A34DC0" w:rsidRPr="00A34DC0">
        <w:t xml:space="preserve"> </w:t>
      </w:r>
      <w:r w:rsidR="00BE0CED" w:rsidRPr="00BE0CED">
        <w:rPr>
          <w:rFonts w:ascii="Arial" w:hAnsi="Arial" w:cs="Arial"/>
          <w:color w:val="FF0000"/>
          <w:u w:val="dotted"/>
        </w:rPr>
        <w:t xml:space="preserve">IEC 62196-2:2022 </w:t>
      </w:r>
    </w:p>
    <w:p w14:paraId="4DB46C44" w14:textId="20C68303" w:rsidR="00531757" w:rsidRPr="00BE0CED" w:rsidRDefault="00BE236B" w:rsidP="00BE0CED">
      <w:pPr>
        <w:pStyle w:val="ListParagraph"/>
        <w:autoSpaceDE w:val="0"/>
        <w:autoSpaceDN w:val="0"/>
        <w:adjustRightInd w:val="0"/>
        <w:spacing w:before="120" w:after="120"/>
        <w:ind w:left="1276"/>
        <w:jc w:val="both"/>
        <w:rPr>
          <w:rFonts w:ascii="Arial" w:hAnsi="Arial" w:cs="Arial"/>
          <w:u w:val="dotted"/>
        </w:rPr>
      </w:pPr>
      <w:r w:rsidRPr="00BE0CED">
        <w:rPr>
          <w:rFonts w:ascii="Arial" w:hAnsi="Arial" w:cs="Arial"/>
          <w:b/>
        </w:rPr>
        <w:t xml:space="preserve"> Title</w:t>
      </w:r>
      <w:r w:rsidRPr="00BE0CED">
        <w:rPr>
          <w:rFonts w:ascii="Arial" w:hAnsi="Arial" w:cs="Arial"/>
        </w:rPr>
        <w:t xml:space="preserve">: </w:t>
      </w:r>
      <w:r w:rsidR="00BE0CED" w:rsidRPr="00BE0CED">
        <w:rPr>
          <w:rFonts w:ascii="Arial" w:hAnsi="Arial" w:cs="Arial"/>
          <w:u w:val="dotted"/>
        </w:rPr>
        <w:t>Plugs, socket-outlets, vehicle connectors and vehicle inlets - Conductive charging of electric vehicles - Part 2: Dimensional compatibility requirements for AC pin and contact-tube accessories</w:t>
      </w:r>
    </w:p>
    <w:p w14:paraId="3F598D71" w14:textId="5BBBD4BD" w:rsidR="00A34DC0" w:rsidRDefault="00BE236B" w:rsidP="00A34DC0">
      <w:pPr>
        <w:tabs>
          <w:tab w:val="right" w:leader="dot" w:pos="9000"/>
        </w:tabs>
        <w:autoSpaceDE w:val="0"/>
        <w:autoSpaceDN w:val="0"/>
        <w:adjustRightInd w:val="0"/>
        <w:ind w:left="360"/>
        <w:rPr>
          <w:lang w:val="en-GB"/>
        </w:rPr>
      </w:pPr>
      <w:r>
        <w:rPr>
          <w:rFonts w:ascii="Arial" w:hAnsi="Arial" w:cs="Arial"/>
          <w:b/>
        </w:rPr>
        <w:t xml:space="preserve">         </w:t>
      </w:r>
      <w:r w:rsidRPr="00A5709E">
        <w:rPr>
          <w:rFonts w:ascii="Arial" w:hAnsi="Arial" w:cs="Arial"/>
          <w:b/>
        </w:rPr>
        <w:t>Scope</w:t>
      </w:r>
      <w:r>
        <w:rPr>
          <w:rFonts w:ascii="Arial" w:hAnsi="Arial" w:cs="Arial"/>
        </w:rPr>
        <w:t>:</w:t>
      </w:r>
      <w:r w:rsidR="00A34DC0" w:rsidRPr="00A34DC0">
        <w:rPr>
          <w:lang w:val="en-GB"/>
        </w:rPr>
        <w:t xml:space="preserve"> </w:t>
      </w:r>
      <w:r w:rsidR="00BE0CED">
        <w:t>IEC 62196-2:2022 applies to EV plugs, EV socket-outlets, vehicle connectors and vehicle inlets with pins and contact-tubes of standardized configurations, herein referred to as accessories. These accessories have a nominal rated operating voltage not exceeding 480 V AC, 50 Hz to 60 Hz, and a rated current not exceeding 63 A three phase or 70 A single phase, for use in conductive charging of electric vehicles.</w:t>
      </w:r>
      <w:r w:rsidR="00BE0CED">
        <w:br/>
        <w:t>This document covers the basic interface accessories for vehicle supply as specified in IEC 62196-1.</w:t>
      </w:r>
    </w:p>
    <w:p w14:paraId="2A668A5E" w14:textId="08924E80" w:rsidR="00A34DC0" w:rsidRDefault="00A34DC0" w:rsidP="00BE236B">
      <w:pPr>
        <w:autoSpaceDE w:val="0"/>
        <w:autoSpaceDN w:val="0"/>
        <w:adjustRightInd w:val="0"/>
        <w:jc w:val="both"/>
      </w:pPr>
      <w:r>
        <w:t xml:space="preserve">            </w:t>
      </w:r>
      <w:hyperlink r:id="rId12" w:history="1">
        <w:r w:rsidR="00BE0CED" w:rsidRPr="006406DB">
          <w:rPr>
            <w:rStyle w:val="Hyperlink"/>
          </w:rPr>
          <w:t>https://webstore.iec.ch/publication/64364</w:t>
        </w:r>
      </w:hyperlink>
    </w:p>
    <w:p w14:paraId="54F33745" w14:textId="77777777" w:rsidR="00BE0CED" w:rsidRPr="00BE236B" w:rsidRDefault="00BE0CED" w:rsidP="00BE236B">
      <w:pPr>
        <w:autoSpaceDE w:val="0"/>
        <w:autoSpaceDN w:val="0"/>
        <w:adjustRightInd w:val="0"/>
        <w:jc w:val="both"/>
        <w:rPr>
          <w:lang w:val="en-KE"/>
        </w:rPr>
      </w:pPr>
    </w:p>
    <w:p w14:paraId="176CC783" w14:textId="143361A7" w:rsidR="00A34DC0" w:rsidRPr="00A34DC0" w:rsidRDefault="00BE236B" w:rsidP="00004576">
      <w:pPr>
        <w:pStyle w:val="ListParagraph"/>
        <w:numPr>
          <w:ilvl w:val="0"/>
          <w:numId w:val="7"/>
        </w:numPr>
        <w:autoSpaceDE w:val="0"/>
        <w:autoSpaceDN w:val="0"/>
        <w:adjustRightInd w:val="0"/>
        <w:spacing w:before="120" w:after="120"/>
        <w:jc w:val="both"/>
        <w:rPr>
          <w:rFonts w:ascii="Arial" w:hAnsi="Arial" w:cs="Arial"/>
          <w:u w:val="dotted"/>
        </w:rPr>
      </w:pPr>
      <w:r w:rsidRPr="00A34DC0">
        <w:rPr>
          <w:rFonts w:ascii="Arial" w:hAnsi="Arial" w:cs="Arial"/>
          <w:b/>
        </w:rPr>
        <w:t>Number</w:t>
      </w:r>
      <w:r w:rsidRPr="00A34DC0">
        <w:rPr>
          <w:rFonts w:ascii="Arial" w:hAnsi="Arial" w:cs="Arial"/>
        </w:rPr>
        <w:t>:</w:t>
      </w:r>
      <w:r w:rsidRPr="00A5709E">
        <w:t xml:space="preserve"> </w:t>
      </w:r>
      <w:r w:rsidR="00BE0CED" w:rsidRPr="00BE0CED">
        <w:rPr>
          <w:rFonts w:ascii="Arial" w:hAnsi="Arial" w:cs="Arial"/>
          <w:color w:val="FF0000"/>
          <w:u w:val="dotted"/>
        </w:rPr>
        <w:t>IEC 62196-3:2022</w:t>
      </w:r>
    </w:p>
    <w:p w14:paraId="15298807" w14:textId="7224AC11" w:rsidR="00BE236B" w:rsidRPr="00BE236B" w:rsidRDefault="00A34DC0" w:rsidP="00A34DC0">
      <w:pPr>
        <w:autoSpaceDE w:val="0"/>
        <w:autoSpaceDN w:val="0"/>
        <w:adjustRightInd w:val="0"/>
        <w:spacing w:before="120" w:after="120"/>
        <w:ind w:left="360"/>
        <w:jc w:val="both"/>
        <w:rPr>
          <w:rFonts w:ascii="Arial" w:hAnsi="Arial" w:cs="Arial"/>
          <w:u w:val="dotted"/>
        </w:rPr>
      </w:pPr>
      <w:r>
        <w:rPr>
          <w:rFonts w:ascii="Arial" w:hAnsi="Arial" w:cs="Arial"/>
          <w:b/>
        </w:rPr>
        <w:t xml:space="preserve">       </w:t>
      </w:r>
      <w:r w:rsidR="00BE236B" w:rsidRPr="00A34DC0">
        <w:rPr>
          <w:rFonts w:ascii="Arial" w:hAnsi="Arial" w:cs="Arial"/>
          <w:b/>
        </w:rPr>
        <w:t>Title</w:t>
      </w:r>
      <w:r w:rsidR="00BE236B" w:rsidRPr="00A34DC0">
        <w:rPr>
          <w:rFonts w:ascii="Arial" w:hAnsi="Arial" w:cs="Arial"/>
        </w:rPr>
        <w:t xml:space="preserve">: </w:t>
      </w:r>
      <w:r w:rsidR="00BE0CED" w:rsidRPr="00BE0CED">
        <w:rPr>
          <w:rFonts w:ascii="Arial" w:hAnsi="Arial" w:cs="Arial"/>
          <w:u w:val="dotted"/>
        </w:rPr>
        <w:t>Plugs, socket-outlets, vehicle connectors and vehicle inlets - Conductive charging of electric vehicles - Part 3: Dimensional compatibility requirements for DC and AC/DC pin and contact-tube vehicle couplers</w:t>
      </w:r>
    </w:p>
    <w:p w14:paraId="39E909F8" w14:textId="51B03C19" w:rsidR="00BE236B" w:rsidRPr="00BE236B" w:rsidRDefault="00BE236B" w:rsidP="00A34DC0">
      <w:pPr>
        <w:tabs>
          <w:tab w:val="right" w:leader="dot" w:pos="9000"/>
        </w:tabs>
        <w:autoSpaceDE w:val="0"/>
        <w:autoSpaceDN w:val="0"/>
        <w:adjustRightInd w:val="0"/>
        <w:ind w:left="360"/>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rsidR="00BE0CED">
        <w:t>IEC 62196-3:2022 is applicable to vehicle couplers with pins and contact tubes of standardized configuration, herein also referred to as "accessories", intended for use in electric vehicle conductive charging systems which incorporate control means, with rated operating voltage and current in accordance with IEC 62196-1:2022.</w:t>
      </w:r>
      <w:r w:rsidR="00BE0CED">
        <w:br/>
        <w:t>This second edition cancels and replaces the first edition published in 2014. This edition constitutes a technical revision.</w:t>
      </w:r>
      <w:r w:rsidR="00BE0CED">
        <w:br/>
        <w:t>This edition includes the following significant technical changes with respect to the previous edition:</w:t>
      </w:r>
      <w:r w:rsidR="00BE0CED">
        <w:br/>
        <w:t>interchangeability requirements have been removed from the title of Part 3;</w:t>
      </w:r>
      <w:r w:rsidR="00BE0CED">
        <w:br/>
      </w:r>
      <w:r w:rsidR="00BE0CED">
        <w:lastRenderedPageBreak/>
        <w:t>increased ratings for all configurations;</w:t>
      </w:r>
      <w:r w:rsidR="00BE0CED">
        <w:br/>
        <w:t>reference to new tests in IEC 62196-1 (Clauses 34, 35, 36 and 37).</w:t>
      </w:r>
    </w:p>
    <w:p w14:paraId="1985BEAB" w14:textId="2F17A8D9" w:rsidR="00A34DC0" w:rsidRDefault="00BE236B" w:rsidP="00BE236B">
      <w:pPr>
        <w:autoSpaceDE w:val="0"/>
        <w:autoSpaceDN w:val="0"/>
        <w:adjustRightInd w:val="0"/>
        <w:jc w:val="both"/>
      </w:pPr>
      <w:r>
        <w:t xml:space="preserve">      </w:t>
      </w:r>
      <w:hyperlink r:id="rId13" w:history="1">
        <w:r w:rsidR="00BE0CED" w:rsidRPr="006406DB">
          <w:rPr>
            <w:rStyle w:val="Hyperlink"/>
          </w:rPr>
          <w:t>https://webstore.iec.ch/publication/59923</w:t>
        </w:r>
      </w:hyperlink>
    </w:p>
    <w:p w14:paraId="47315389" w14:textId="77777777" w:rsidR="00BE0CED" w:rsidRDefault="00BE0CED" w:rsidP="00BE236B">
      <w:pPr>
        <w:autoSpaceDE w:val="0"/>
        <w:autoSpaceDN w:val="0"/>
        <w:adjustRightInd w:val="0"/>
        <w:jc w:val="both"/>
      </w:pPr>
    </w:p>
    <w:p w14:paraId="12BCF8F6" w14:textId="77777777" w:rsidR="00861747" w:rsidRDefault="00861747" w:rsidP="00BE236B">
      <w:pPr>
        <w:autoSpaceDE w:val="0"/>
        <w:autoSpaceDN w:val="0"/>
        <w:adjustRightInd w:val="0"/>
        <w:jc w:val="both"/>
      </w:pPr>
    </w:p>
    <w:p w14:paraId="3717D56C" w14:textId="4BEE8A48" w:rsidR="00A34DC0" w:rsidRPr="00A34DC0" w:rsidRDefault="00861747" w:rsidP="004B0353">
      <w:pPr>
        <w:pStyle w:val="ListParagraph"/>
        <w:numPr>
          <w:ilvl w:val="0"/>
          <w:numId w:val="7"/>
        </w:numPr>
        <w:autoSpaceDE w:val="0"/>
        <w:autoSpaceDN w:val="0"/>
        <w:adjustRightInd w:val="0"/>
        <w:spacing w:before="120" w:after="120"/>
        <w:jc w:val="both"/>
        <w:rPr>
          <w:rFonts w:ascii="Arial" w:hAnsi="Arial" w:cs="Arial"/>
          <w:u w:val="dotted"/>
        </w:rPr>
      </w:pPr>
      <w:r w:rsidRPr="00A34DC0">
        <w:rPr>
          <w:rFonts w:ascii="Arial" w:hAnsi="Arial" w:cs="Arial"/>
          <w:b/>
        </w:rPr>
        <w:t>Number</w:t>
      </w:r>
      <w:r w:rsidRPr="00A34DC0">
        <w:rPr>
          <w:rFonts w:ascii="Arial" w:hAnsi="Arial" w:cs="Arial"/>
        </w:rPr>
        <w:t>:</w:t>
      </w:r>
      <w:r w:rsidRPr="00A5709E">
        <w:t xml:space="preserve"> </w:t>
      </w:r>
      <w:r w:rsidR="00BE0CED" w:rsidRPr="00BE0CED">
        <w:rPr>
          <w:rFonts w:ascii="Arial" w:hAnsi="Arial" w:cs="Arial"/>
          <w:color w:val="FF0000"/>
          <w:u w:val="dotted"/>
        </w:rPr>
        <w:t>IEC TS 62196-4:2022</w:t>
      </w:r>
    </w:p>
    <w:p w14:paraId="5CF60324" w14:textId="5E152561" w:rsidR="00861747" w:rsidRPr="00A34DC0" w:rsidRDefault="00861747" w:rsidP="00A34DC0">
      <w:pPr>
        <w:pStyle w:val="ListParagraph"/>
        <w:autoSpaceDE w:val="0"/>
        <w:autoSpaceDN w:val="0"/>
        <w:adjustRightInd w:val="0"/>
        <w:spacing w:before="120" w:after="120"/>
        <w:jc w:val="both"/>
        <w:rPr>
          <w:rFonts w:ascii="Arial" w:hAnsi="Arial" w:cs="Arial"/>
          <w:u w:val="dotted"/>
        </w:rPr>
      </w:pPr>
      <w:r w:rsidRPr="00A34DC0">
        <w:rPr>
          <w:rFonts w:ascii="Arial" w:hAnsi="Arial" w:cs="Arial"/>
          <w:b/>
        </w:rPr>
        <w:t>Title</w:t>
      </w:r>
      <w:r w:rsidRPr="00A34DC0">
        <w:rPr>
          <w:rFonts w:ascii="Arial" w:hAnsi="Arial" w:cs="Arial"/>
        </w:rPr>
        <w:t xml:space="preserve">: </w:t>
      </w:r>
      <w:r w:rsidR="00BE0CED" w:rsidRPr="00BE0CED">
        <w:rPr>
          <w:rFonts w:ascii="Arial" w:hAnsi="Arial" w:cs="Arial"/>
          <w:u w:val="dotted"/>
        </w:rPr>
        <w:t>Plugs, socket-outlets, vehicle connectors and vehicle inlets - Conductive charging of electric vehicles - Part 4: Dimensional compatibility and interchangeability requirements for DC pin and contact-tube accessories for Class II or Class III applications</w:t>
      </w:r>
    </w:p>
    <w:p w14:paraId="64E36CFE" w14:textId="77777777" w:rsidR="00861747" w:rsidRPr="00BE236B" w:rsidRDefault="00861747" w:rsidP="00861747">
      <w:pPr>
        <w:autoSpaceDE w:val="0"/>
        <w:autoSpaceDN w:val="0"/>
        <w:adjustRightInd w:val="0"/>
        <w:rPr>
          <w:rFonts w:ascii="Arial" w:hAnsi="Arial" w:cs="Arial"/>
          <w:u w:val="dotted"/>
        </w:rPr>
      </w:pPr>
    </w:p>
    <w:p w14:paraId="6F40A5DA" w14:textId="29305295" w:rsidR="00A431EE" w:rsidRPr="00861747" w:rsidRDefault="00861747" w:rsidP="00BE0CED">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rsidR="00BE0CED">
        <w:t>IEC TS 62196-4:2022(E) is applicable to plugs, socket-outlets, vehicle connectors and vehicle inlets, herein referred to as “accessories”, of standardized configuration for DC power supply of electric road vehicles, where the protection against electric shocks relies on double or reinforced insulation between all AC and DC inputs and outputs of the EV supply equipment, intended for use in conductive power supply systems which can incorporate control means, with a maximum operating voltage up to 120 V DC, not exceeding 60 A.</w:t>
      </w:r>
    </w:p>
    <w:p w14:paraId="3DDCC090" w14:textId="35E60D77" w:rsidR="00531757" w:rsidRDefault="00861747" w:rsidP="00861747">
      <w:pPr>
        <w:autoSpaceDE w:val="0"/>
        <w:autoSpaceDN w:val="0"/>
        <w:adjustRightInd w:val="0"/>
        <w:jc w:val="both"/>
        <w:rPr>
          <w:lang w:val="en-KE"/>
        </w:rPr>
      </w:pPr>
      <w:r w:rsidRPr="00861747">
        <w:rPr>
          <w:lang w:val="en-KE"/>
        </w:rPr>
        <w:t xml:space="preserve">    </w:t>
      </w:r>
      <w:hyperlink r:id="rId14" w:history="1">
        <w:r w:rsidR="00BE0CED" w:rsidRPr="006406DB">
          <w:rPr>
            <w:rStyle w:val="Hyperlink"/>
            <w:lang w:val="en-KE"/>
          </w:rPr>
          <w:t>https://webstore.iec.ch/publication/26769</w:t>
        </w:r>
      </w:hyperlink>
    </w:p>
    <w:p w14:paraId="2568DF82" w14:textId="77777777" w:rsidR="00BE0CED" w:rsidRDefault="00BE0CED" w:rsidP="00861747">
      <w:pPr>
        <w:autoSpaceDE w:val="0"/>
        <w:autoSpaceDN w:val="0"/>
        <w:adjustRightInd w:val="0"/>
        <w:jc w:val="both"/>
        <w:rPr>
          <w:lang w:val="en-KE"/>
        </w:rPr>
      </w:pPr>
    </w:p>
    <w:p w14:paraId="175FF602" w14:textId="24B23437" w:rsidR="00BE0CED" w:rsidRPr="00A34DC0" w:rsidRDefault="00BE0CED" w:rsidP="00BE0CED">
      <w:pPr>
        <w:pStyle w:val="ListParagraph"/>
        <w:numPr>
          <w:ilvl w:val="0"/>
          <w:numId w:val="7"/>
        </w:numPr>
        <w:autoSpaceDE w:val="0"/>
        <w:autoSpaceDN w:val="0"/>
        <w:adjustRightInd w:val="0"/>
        <w:spacing w:before="120" w:after="120"/>
        <w:jc w:val="both"/>
        <w:rPr>
          <w:rFonts w:ascii="Arial" w:hAnsi="Arial" w:cs="Arial"/>
          <w:u w:val="dotted"/>
        </w:rPr>
      </w:pPr>
      <w:r w:rsidRPr="00A34DC0">
        <w:rPr>
          <w:rFonts w:ascii="Arial" w:hAnsi="Arial" w:cs="Arial"/>
          <w:b/>
        </w:rPr>
        <w:t>Number</w:t>
      </w:r>
      <w:r w:rsidRPr="00A34DC0">
        <w:rPr>
          <w:rFonts w:ascii="Arial" w:hAnsi="Arial" w:cs="Arial"/>
        </w:rPr>
        <w:t>:</w:t>
      </w:r>
      <w:r w:rsidRPr="00A5709E">
        <w:t xml:space="preserve"> </w:t>
      </w:r>
      <w:r w:rsidRPr="00BE0CED">
        <w:rPr>
          <w:rFonts w:ascii="Arial" w:hAnsi="Arial" w:cs="Arial"/>
          <w:color w:val="FF0000"/>
          <w:u w:val="dotted"/>
        </w:rPr>
        <w:t>IEC 62196-6:2022</w:t>
      </w:r>
    </w:p>
    <w:p w14:paraId="576D604D" w14:textId="2FB25570" w:rsidR="00BE0CED" w:rsidRPr="00A34DC0" w:rsidRDefault="00BE0CED" w:rsidP="00BE0CED">
      <w:pPr>
        <w:pStyle w:val="ListParagraph"/>
        <w:autoSpaceDE w:val="0"/>
        <w:autoSpaceDN w:val="0"/>
        <w:adjustRightInd w:val="0"/>
        <w:spacing w:before="120" w:after="120"/>
        <w:jc w:val="both"/>
        <w:rPr>
          <w:rFonts w:ascii="Arial" w:hAnsi="Arial" w:cs="Arial"/>
          <w:u w:val="dotted"/>
        </w:rPr>
      </w:pPr>
      <w:r w:rsidRPr="00A34DC0">
        <w:rPr>
          <w:rFonts w:ascii="Arial" w:hAnsi="Arial" w:cs="Arial"/>
          <w:b/>
        </w:rPr>
        <w:t>Title</w:t>
      </w:r>
      <w:r w:rsidRPr="00A34DC0">
        <w:rPr>
          <w:rFonts w:ascii="Arial" w:hAnsi="Arial" w:cs="Arial"/>
        </w:rPr>
        <w:t xml:space="preserve">: </w:t>
      </w:r>
      <w:r w:rsidRPr="00BE0CED">
        <w:rPr>
          <w:rFonts w:ascii="Arial" w:hAnsi="Arial" w:cs="Arial"/>
          <w:u w:val="dotted"/>
        </w:rPr>
        <w:t>Plugs, socket-outlets, vehicle connectors and vehicle inlets - Conductive charging of electric vehicles - Part 6: Dimensional compatibility requirements for DC pin and contact-tube vehicle couplers intended to be used for DC EV supply equipment where protection relies on electrical separation</w:t>
      </w:r>
    </w:p>
    <w:p w14:paraId="1A143EF2" w14:textId="77777777" w:rsidR="00BE0CED" w:rsidRPr="00BE236B" w:rsidRDefault="00BE0CED" w:rsidP="00BE0CED">
      <w:pPr>
        <w:autoSpaceDE w:val="0"/>
        <w:autoSpaceDN w:val="0"/>
        <w:adjustRightInd w:val="0"/>
        <w:rPr>
          <w:rFonts w:ascii="Arial" w:hAnsi="Arial" w:cs="Arial"/>
          <w:u w:val="dotted"/>
        </w:rPr>
      </w:pPr>
    </w:p>
    <w:p w14:paraId="15BF7CA5" w14:textId="25564615" w:rsidR="00BE0CED" w:rsidRPr="00861747" w:rsidRDefault="00BE0CED" w:rsidP="00BE0CED">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IEC 62196-6:2022 is applicable to vehicle connectors, vehicle inlets and cable assemblies for electric vehicle (EV), intended for use in conductive charging systems which incorporate control means, with a rated operating voltage up to 120 V DC and rated current up to 100 A.</w:t>
      </w:r>
      <w:r>
        <w:br/>
        <w:t>These accessories are intended to be used for a DC interface of the conductive charging system according to IEC 61851-25:2020.</w:t>
      </w:r>
    </w:p>
    <w:p w14:paraId="6E1D784A" w14:textId="4E039566" w:rsidR="00BE0CED" w:rsidRDefault="00BE0CED" w:rsidP="00BE0CED">
      <w:pPr>
        <w:autoSpaceDE w:val="0"/>
        <w:autoSpaceDN w:val="0"/>
        <w:adjustRightInd w:val="0"/>
        <w:jc w:val="both"/>
        <w:rPr>
          <w:lang w:val="en-KE"/>
        </w:rPr>
      </w:pPr>
      <w:r w:rsidRPr="00861747">
        <w:rPr>
          <w:lang w:val="en-KE"/>
        </w:rPr>
        <w:t xml:space="preserve">   </w:t>
      </w:r>
      <w:hyperlink r:id="rId15" w:history="1">
        <w:r w:rsidRPr="006406DB">
          <w:rPr>
            <w:rStyle w:val="Hyperlink"/>
            <w:lang w:val="en-KE"/>
          </w:rPr>
          <w:t>https://webstore.iec.ch/publication/62552</w:t>
        </w:r>
      </w:hyperlink>
    </w:p>
    <w:p w14:paraId="1207620F" w14:textId="77777777" w:rsidR="00BE0CED" w:rsidRDefault="00BE0CED" w:rsidP="00BE0CED">
      <w:pPr>
        <w:autoSpaceDE w:val="0"/>
        <w:autoSpaceDN w:val="0"/>
        <w:adjustRightInd w:val="0"/>
        <w:jc w:val="both"/>
        <w:rPr>
          <w:lang w:val="en-KE"/>
        </w:rPr>
      </w:pPr>
    </w:p>
    <w:p w14:paraId="65622298" w14:textId="7F64DD58" w:rsidR="00BE0CED" w:rsidRPr="00A34DC0" w:rsidRDefault="00BE0CED" w:rsidP="00BE0CED">
      <w:pPr>
        <w:pStyle w:val="ListParagraph"/>
        <w:numPr>
          <w:ilvl w:val="0"/>
          <w:numId w:val="7"/>
        </w:numPr>
        <w:autoSpaceDE w:val="0"/>
        <w:autoSpaceDN w:val="0"/>
        <w:adjustRightInd w:val="0"/>
        <w:spacing w:before="120" w:after="120"/>
        <w:jc w:val="both"/>
        <w:rPr>
          <w:rFonts w:ascii="Arial" w:hAnsi="Arial" w:cs="Arial"/>
          <w:u w:val="dotted"/>
        </w:rPr>
      </w:pPr>
      <w:r w:rsidRPr="00A34DC0">
        <w:rPr>
          <w:rFonts w:ascii="Arial" w:hAnsi="Arial" w:cs="Arial"/>
          <w:b/>
        </w:rPr>
        <w:t>Number</w:t>
      </w:r>
      <w:r w:rsidRPr="00A34DC0">
        <w:rPr>
          <w:rFonts w:ascii="Arial" w:hAnsi="Arial" w:cs="Arial"/>
        </w:rPr>
        <w:t>:</w:t>
      </w:r>
      <w:r w:rsidRPr="00A5709E">
        <w:t xml:space="preserve"> </w:t>
      </w:r>
      <w:r w:rsidRPr="00BE0CED">
        <w:rPr>
          <w:rFonts w:ascii="Arial" w:hAnsi="Arial" w:cs="Arial"/>
          <w:color w:val="FF0000"/>
          <w:u w:val="dotted"/>
        </w:rPr>
        <w:t>IEC 61851-1:2017</w:t>
      </w:r>
    </w:p>
    <w:p w14:paraId="00D60DCB" w14:textId="0787D134" w:rsidR="00BE0CED" w:rsidRPr="00A34DC0" w:rsidRDefault="00BE0CED" w:rsidP="00BE0CED">
      <w:pPr>
        <w:pStyle w:val="ListParagraph"/>
        <w:autoSpaceDE w:val="0"/>
        <w:autoSpaceDN w:val="0"/>
        <w:adjustRightInd w:val="0"/>
        <w:spacing w:before="120" w:after="120"/>
        <w:jc w:val="both"/>
        <w:rPr>
          <w:rFonts w:ascii="Arial" w:hAnsi="Arial" w:cs="Arial"/>
          <w:u w:val="dotted"/>
        </w:rPr>
      </w:pPr>
      <w:r w:rsidRPr="00A34DC0">
        <w:rPr>
          <w:rFonts w:ascii="Arial" w:hAnsi="Arial" w:cs="Arial"/>
          <w:b/>
        </w:rPr>
        <w:t>Title</w:t>
      </w:r>
      <w:r w:rsidRPr="00A34DC0">
        <w:rPr>
          <w:rFonts w:ascii="Arial" w:hAnsi="Arial" w:cs="Arial"/>
        </w:rPr>
        <w:t xml:space="preserve">: </w:t>
      </w:r>
      <w:r w:rsidRPr="00BE0CED">
        <w:rPr>
          <w:rFonts w:ascii="Arial" w:hAnsi="Arial" w:cs="Arial"/>
          <w:u w:val="dotted"/>
        </w:rPr>
        <w:t>Electric vehicle conductive charging system - Part 1: General requirements</w:t>
      </w:r>
    </w:p>
    <w:p w14:paraId="2EDBDFCA" w14:textId="77777777" w:rsidR="00BE0CED" w:rsidRPr="00BE236B" w:rsidRDefault="00BE0CED" w:rsidP="00BE0CED">
      <w:pPr>
        <w:autoSpaceDE w:val="0"/>
        <w:autoSpaceDN w:val="0"/>
        <w:adjustRightInd w:val="0"/>
        <w:rPr>
          <w:rFonts w:ascii="Arial" w:hAnsi="Arial" w:cs="Arial"/>
          <w:u w:val="dotted"/>
        </w:rPr>
      </w:pPr>
    </w:p>
    <w:p w14:paraId="44252751" w14:textId="68FD2BBA" w:rsidR="00BE0CED" w:rsidRPr="00861747" w:rsidRDefault="00BE0CED" w:rsidP="00BE0CED">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IEC 61851-1:2017 applies to EV supply equipment for charging electric road vehicles, with a rated supply voltage up to 1 000 V AC or up to 1 500 V DC and a rated output voltage up to 1 000 V AC or up to 1 500 V DC. Electric road vehicles (EV) cover all road vehicles, including plug-in hybrid road vehicles (PHEV), that derive all or part of their energy from on-board rechargeable energy storage systems (RESS).</w:t>
      </w:r>
    </w:p>
    <w:p w14:paraId="17DF1CD7" w14:textId="3B942521" w:rsidR="00BE0CED" w:rsidRDefault="00BE0CED" w:rsidP="00BE0CED">
      <w:pPr>
        <w:autoSpaceDE w:val="0"/>
        <w:autoSpaceDN w:val="0"/>
        <w:adjustRightInd w:val="0"/>
        <w:jc w:val="both"/>
        <w:rPr>
          <w:lang w:val="en-KE"/>
        </w:rPr>
      </w:pPr>
      <w:hyperlink r:id="rId16" w:history="1">
        <w:r w:rsidRPr="006406DB">
          <w:rPr>
            <w:rStyle w:val="Hyperlink"/>
            <w:lang w:val="en-KE"/>
          </w:rPr>
          <w:t>https://webstore.iec.ch/publication/33644</w:t>
        </w:r>
      </w:hyperlink>
    </w:p>
    <w:p w14:paraId="18B35A94" w14:textId="77777777" w:rsidR="00BE0CED" w:rsidRDefault="00BE0CED" w:rsidP="00BE0CED">
      <w:pPr>
        <w:autoSpaceDE w:val="0"/>
        <w:autoSpaceDN w:val="0"/>
        <w:adjustRightInd w:val="0"/>
        <w:jc w:val="both"/>
        <w:rPr>
          <w:lang w:val="en-KE"/>
        </w:rPr>
      </w:pPr>
    </w:p>
    <w:p w14:paraId="445697B2" w14:textId="77777777" w:rsidR="00BE0CED" w:rsidRDefault="00BE0CED" w:rsidP="00BE0CED">
      <w:pPr>
        <w:autoSpaceDE w:val="0"/>
        <w:autoSpaceDN w:val="0"/>
        <w:adjustRightInd w:val="0"/>
        <w:jc w:val="both"/>
        <w:rPr>
          <w:lang w:val="en-KE"/>
        </w:rPr>
      </w:pPr>
    </w:p>
    <w:p w14:paraId="747523BE" w14:textId="3F4EC5BA" w:rsidR="00BE0CED" w:rsidRPr="00A34DC0" w:rsidRDefault="00BE0CED" w:rsidP="00833617">
      <w:pPr>
        <w:pStyle w:val="ListParagraph"/>
        <w:numPr>
          <w:ilvl w:val="0"/>
          <w:numId w:val="7"/>
        </w:numPr>
        <w:autoSpaceDE w:val="0"/>
        <w:autoSpaceDN w:val="0"/>
        <w:adjustRightInd w:val="0"/>
        <w:spacing w:before="120" w:after="120"/>
        <w:jc w:val="both"/>
        <w:rPr>
          <w:rFonts w:ascii="Arial" w:hAnsi="Arial" w:cs="Arial"/>
          <w:u w:val="dotted"/>
        </w:rPr>
      </w:pPr>
      <w:r w:rsidRPr="00A34DC0">
        <w:rPr>
          <w:rFonts w:ascii="Arial" w:hAnsi="Arial" w:cs="Arial"/>
          <w:b/>
        </w:rPr>
        <w:t>Number</w:t>
      </w:r>
      <w:r w:rsidRPr="00A34DC0">
        <w:rPr>
          <w:rFonts w:ascii="Arial" w:hAnsi="Arial" w:cs="Arial"/>
        </w:rPr>
        <w:t>:</w:t>
      </w:r>
      <w:r w:rsidRPr="00A5709E">
        <w:t xml:space="preserve"> </w:t>
      </w:r>
      <w:r w:rsidRPr="00BE0CED">
        <w:rPr>
          <w:rFonts w:ascii="Arial" w:hAnsi="Arial" w:cs="Arial"/>
          <w:color w:val="FF0000"/>
          <w:u w:val="dotted"/>
        </w:rPr>
        <w:t>IEC 61851-21-1:2017</w:t>
      </w:r>
    </w:p>
    <w:p w14:paraId="4CE924B0" w14:textId="24C65833" w:rsidR="00BE0CED" w:rsidRPr="00A34DC0" w:rsidRDefault="00BE0CED" w:rsidP="00BE0CED">
      <w:pPr>
        <w:pStyle w:val="ListParagraph"/>
        <w:autoSpaceDE w:val="0"/>
        <w:autoSpaceDN w:val="0"/>
        <w:adjustRightInd w:val="0"/>
        <w:spacing w:before="120" w:after="120"/>
        <w:jc w:val="both"/>
        <w:rPr>
          <w:rFonts w:ascii="Arial" w:hAnsi="Arial" w:cs="Arial"/>
          <w:u w:val="dotted"/>
        </w:rPr>
      </w:pPr>
      <w:r w:rsidRPr="00A34DC0">
        <w:rPr>
          <w:rFonts w:ascii="Arial" w:hAnsi="Arial" w:cs="Arial"/>
          <w:b/>
        </w:rPr>
        <w:t>Title</w:t>
      </w:r>
      <w:r w:rsidRPr="00A34DC0">
        <w:rPr>
          <w:rFonts w:ascii="Arial" w:hAnsi="Arial" w:cs="Arial"/>
        </w:rPr>
        <w:t xml:space="preserve">: </w:t>
      </w:r>
      <w:r w:rsidRPr="00BE0CED">
        <w:rPr>
          <w:rFonts w:ascii="Arial" w:hAnsi="Arial" w:cs="Arial"/>
          <w:u w:val="dotted"/>
        </w:rPr>
        <w:t>Electric vehicle conductive charging system - Part 21-1 Electric vehicle on-board charger EMC requirements for conductive connection to AC/DC supply</w:t>
      </w:r>
    </w:p>
    <w:p w14:paraId="273146BC" w14:textId="77777777" w:rsidR="00BE0CED" w:rsidRPr="00BE236B" w:rsidRDefault="00BE0CED" w:rsidP="00BE0CED">
      <w:pPr>
        <w:autoSpaceDE w:val="0"/>
        <w:autoSpaceDN w:val="0"/>
        <w:adjustRightInd w:val="0"/>
        <w:rPr>
          <w:rFonts w:ascii="Arial" w:hAnsi="Arial" w:cs="Arial"/>
          <w:u w:val="dotted"/>
        </w:rPr>
      </w:pPr>
    </w:p>
    <w:p w14:paraId="28736920" w14:textId="73666561" w:rsidR="00BE0CED" w:rsidRPr="00861747" w:rsidRDefault="00BE0CED" w:rsidP="00BE0CED">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rsidR="00833617">
        <w:t>IEC 61851-21-1:2017, together with IEC 61851-1:2010, gives requirements for conductive connection of an electric vehicle (EV) to an AC or DC supply. It applies only to on-board charging units either tested on the complete vehicle or tested on the charging system component level (ESA - electronic sub assembly).</w:t>
      </w:r>
      <w:r w:rsidR="00833617">
        <w:br/>
        <w:t>This document covers the electromagnetic compatibility (EMC) requirements for electrically propelled vehicles in any charging mode while connected to the mains supply. This first edition, together with IEC 61851-21-2, cancels and replaces IEC 61851-21:2001.</w:t>
      </w:r>
      <w:r w:rsidR="00833617">
        <w:t xml:space="preserve"> </w:t>
      </w:r>
      <w:r>
        <w:t>(RESS).</w:t>
      </w:r>
    </w:p>
    <w:p w14:paraId="1724A907" w14:textId="3267E567" w:rsidR="00BE0CED" w:rsidRDefault="00833617" w:rsidP="00BE0CED">
      <w:pPr>
        <w:autoSpaceDE w:val="0"/>
        <w:autoSpaceDN w:val="0"/>
        <w:adjustRightInd w:val="0"/>
        <w:jc w:val="both"/>
        <w:rPr>
          <w:lang w:val="en-KE"/>
        </w:rPr>
      </w:pPr>
      <w:hyperlink r:id="rId17" w:history="1">
        <w:r w:rsidRPr="00857D00">
          <w:rPr>
            <w:rStyle w:val="Hyperlink"/>
            <w:lang w:val="en-KE"/>
          </w:rPr>
          <w:t>https://webstore.iec.ch/publication/32045</w:t>
        </w:r>
      </w:hyperlink>
    </w:p>
    <w:p w14:paraId="793D0BCD" w14:textId="77777777" w:rsidR="00833617" w:rsidRDefault="00833617" w:rsidP="00BE0CED">
      <w:pPr>
        <w:autoSpaceDE w:val="0"/>
        <w:autoSpaceDN w:val="0"/>
        <w:adjustRightInd w:val="0"/>
        <w:jc w:val="both"/>
        <w:rPr>
          <w:lang w:val="en-KE"/>
        </w:rPr>
      </w:pPr>
    </w:p>
    <w:p w14:paraId="463DD2F7" w14:textId="77777777" w:rsidR="00833617" w:rsidRDefault="00833617" w:rsidP="00BE0CED">
      <w:pPr>
        <w:autoSpaceDE w:val="0"/>
        <w:autoSpaceDN w:val="0"/>
        <w:adjustRightInd w:val="0"/>
        <w:jc w:val="both"/>
        <w:rPr>
          <w:lang w:val="en-KE"/>
        </w:rPr>
      </w:pPr>
    </w:p>
    <w:p w14:paraId="294669BC" w14:textId="2CA3C4BF" w:rsidR="00833617" w:rsidRPr="00A34DC0" w:rsidRDefault="00833617" w:rsidP="00833617">
      <w:pPr>
        <w:pStyle w:val="ListParagraph"/>
        <w:numPr>
          <w:ilvl w:val="0"/>
          <w:numId w:val="7"/>
        </w:numPr>
        <w:autoSpaceDE w:val="0"/>
        <w:autoSpaceDN w:val="0"/>
        <w:adjustRightInd w:val="0"/>
        <w:spacing w:before="120" w:after="120"/>
        <w:jc w:val="both"/>
        <w:rPr>
          <w:rFonts w:ascii="Arial" w:hAnsi="Arial" w:cs="Arial"/>
          <w:u w:val="dotted"/>
        </w:rPr>
      </w:pPr>
      <w:r w:rsidRPr="00A34DC0">
        <w:rPr>
          <w:rFonts w:ascii="Arial" w:hAnsi="Arial" w:cs="Arial"/>
          <w:b/>
        </w:rPr>
        <w:lastRenderedPageBreak/>
        <w:t>Number</w:t>
      </w:r>
      <w:r w:rsidRPr="00A34DC0">
        <w:rPr>
          <w:rFonts w:ascii="Arial" w:hAnsi="Arial" w:cs="Arial"/>
        </w:rPr>
        <w:t>:</w:t>
      </w:r>
      <w:r w:rsidRPr="00A5709E">
        <w:t xml:space="preserve"> </w:t>
      </w:r>
      <w:r w:rsidRPr="00833617">
        <w:rPr>
          <w:rFonts w:ascii="Arial" w:hAnsi="Arial" w:cs="Arial"/>
          <w:color w:val="FF0000"/>
          <w:u w:val="dotted"/>
        </w:rPr>
        <w:t>IEC 61851-21-2:2018</w:t>
      </w:r>
    </w:p>
    <w:p w14:paraId="0D530EF7" w14:textId="7E02FCB9" w:rsidR="00833617" w:rsidRPr="00A34DC0" w:rsidRDefault="00833617" w:rsidP="00833617">
      <w:pPr>
        <w:pStyle w:val="ListParagraph"/>
        <w:autoSpaceDE w:val="0"/>
        <w:autoSpaceDN w:val="0"/>
        <w:adjustRightInd w:val="0"/>
        <w:spacing w:before="120" w:after="120"/>
        <w:jc w:val="both"/>
        <w:rPr>
          <w:rFonts w:ascii="Arial" w:hAnsi="Arial" w:cs="Arial"/>
          <w:u w:val="dotted"/>
        </w:rPr>
      </w:pPr>
      <w:r w:rsidRPr="00A34DC0">
        <w:rPr>
          <w:rFonts w:ascii="Arial" w:hAnsi="Arial" w:cs="Arial"/>
          <w:b/>
        </w:rPr>
        <w:t>Title</w:t>
      </w:r>
      <w:r w:rsidRPr="00A34DC0">
        <w:rPr>
          <w:rFonts w:ascii="Arial" w:hAnsi="Arial" w:cs="Arial"/>
        </w:rPr>
        <w:t xml:space="preserve">: </w:t>
      </w:r>
      <w:r w:rsidRPr="00833617">
        <w:rPr>
          <w:rFonts w:ascii="Arial" w:hAnsi="Arial" w:cs="Arial"/>
          <w:u w:val="dotted"/>
        </w:rPr>
        <w:t>Electric vehicle conductive charging system - Part 21-2: Electric vehicle requirements for conductive connection to an AC/DC supply - EMC requirements for off board electric vehicle charging systems</w:t>
      </w:r>
    </w:p>
    <w:p w14:paraId="4671E003" w14:textId="77777777" w:rsidR="00833617" w:rsidRPr="00BE236B" w:rsidRDefault="00833617" w:rsidP="00833617">
      <w:pPr>
        <w:autoSpaceDE w:val="0"/>
        <w:autoSpaceDN w:val="0"/>
        <w:adjustRightInd w:val="0"/>
        <w:rPr>
          <w:rFonts w:ascii="Arial" w:hAnsi="Arial" w:cs="Arial"/>
          <w:u w:val="dotted"/>
        </w:rPr>
      </w:pPr>
    </w:p>
    <w:p w14:paraId="19ABBB78" w14:textId="5F31CEF1" w:rsidR="00833617" w:rsidRPr="00861747" w:rsidRDefault="00833617" w:rsidP="00833617">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IEC 61851-21-2:2018 defines the EMC requirements for any off-board components or equipment of such systems used to supply or charge electric vehicles with electric power by conductive power transfer (CPT), with a rated input voltage, according to IEC 60038:2009, up to 1 000 V AC or 1 500 V DC and an output voltage up to 1 000 V AC or 1 500 V DC.</w:t>
      </w:r>
      <w:r>
        <w:br/>
        <w:t>This document covers off-board charging equipment for mode 1, mode 2, mode 3 and mode 4 charging as defined in IEC 61851-1:2017.</w:t>
      </w:r>
    </w:p>
    <w:p w14:paraId="58D61DE9" w14:textId="41576C1F" w:rsidR="00833617" w:rsidRDefault="00833617" w:rsidP="00BE0CED">
      <w:pPr>
        <w:autoSpaceDE w:val="0"/>
        <w:autoSpaceDN w:val="0"/>
        <w:adjustRightInd w:val="0"/>
        <w:jc w:val="both"/>
        <w:rPr>
          <w:lang w:val="en-KE"/>
        </w:rPr>
      </w:pPr>
      <w:hyperlink r:id="rId18" w:history="1">
        <w:r w:rsidRPr="00857D00">
          <w:rPr>
            <w:rStyle w:val="Hyperlink"/>
            <w:lang w:val="en-KE"/>
          </w:rPr>
          <w:t>https://webstore.iec.ch/publication/31282</w:t>
        </w:r>
      </w:hyperlink>
    </w:p>
    <w:p w14:paraId="786D0763" w14:textId="77777777" w:rsidR="00833617" w:rsidRDefault="00833617" w:rsidP="00BE0CED">
      <w:pPr>
        <w:autoSpaceDE w:val="0"/>
        <w:autoSpaceDN w:val="0"/>
        <w:adjustRightInd w:val="0"/>
        <w:jc w:val="both"/>
        <w:rPr>
          <w:lang w:val="en-KE"/>
        </w:rPr>
      </w:pPr>
    </w:p>
    <w:p w14:paraId="280A327A" w14:textId="77777777" w:rsidR="00833617" w:rsidRPr="00833617" w:rsidRDefault="00833617" w:rsidP="00951603">
      <w:pPr>
        <w:pStyle w:val="ListParagraph"/>
        <w:numPr>
          <w:ilvl w:val="0"/>
          <w:numId w:val="7"/>
        </w:numPr>
        <w:autoSpaceDE w:val="0"/>
        <w:autoSpaceDN w:val="0"/>
        <w:adjustRightInd w:val="0"/>
        <w:spacing w:before="120" w:after="120"/>
        <w:jc w:val="both"/>
        <w:rPr>
          <w:rFonts w:ascii="Arial" w:hAnsi="Arial" w:cs="Arial"/>
          <w:u w:val="dotted"/>
        </w:rPr>
      </w:pPr>
      <w:r w:rsidRPr="00833617">
        <w:rPr>
          <w:rFonts w:ascii="Arial" w:hAnsi="Arial" w:cs="Arial"/>
          <w:b/>
        </w:rPr>
        <w:t>Number</w:t>
      </w:r>
      <w:r w:rsidRPr="00833617">
        <w:rPr>
          <w:rFonts w:ascii="Arial" w:hAnsi="Arial" w:cs="Arial"/>
        </w:rPr>
        <w:t>:</w:t>
      </w:r>
      <w:r w:rsidRPr="00A5709E">
        <w:t xml:space="preserve"> </w:t>
      </w:r>
      <w:r w:rsidRPr="00833617">
        <w:rPr>
          <w:rFonts w:ascii="Arial" w:hAnsi="Arial" w:cs="Arial"/>
          <w:color w:val="FF0000"/>
          <w:u w:val="dotted"/>
        </w:rPr>
        <w:t xml:space="preserve">IEC 61851-23:2023 </w:t>
      </w:r>
    </w:p>
    <w:p w14:paraId="5DDD8FD4" w14:textId="0EC87104" w:rsidR="00833617" w:rsidRPr="00833617" w:rsidRDefault="00833617" w:rsidP="00833617">
      <w:pPr>
        <w:pStyle w:val="ListParagraph"/>
        <w:autoSpaceDE w:val="0"/>
        <w:autoSpaceDN w:val="0"/>
        <w:adjustRightInd w:val="0"/>
        <w:spacing w:before="120" w:after="120"/>
        <w:jc w:val="both"/>
        <w:rPr>
          <w:rFonts w:ascii="Arial" w:hAnsi="Arial" w:cs="Arial"/>
          <w:u w:val="dotted"/>
        </w:rPr>
      </w:pPr>
      <w:r w:rsidRPr="00833617">
        <w:rPr>
          <w:rFonts w:ascii="Arial" w:hAnsi="Arial" w:cs="Arial"/>
          <w:b/>
        </w:rPr>
        <w:t>Title</w:t>
      </w:r>
      <w:r w:rsidRPr="00833617">
        <w:rPr>
          <w:rFonts w:ascii="Arial" w:hAnsi="Arial" w:cs="Arial"/>
        </w:rPr>
        <w:t xml:space="preserve">: </w:t>
      </w:r>
      <w:r w:rsidRPr="00833617">
        <w:rPr>
          <w:rFonts w:ascii="Arial" w:hAnsi="Arial" w:cs="Arial"/>
          <w:u w:val="dotted"/>
        </w:rPr>
        <w:t>Electric vehicle conductive charging system - Part 23: DC electric vehicle supply equipment</w:t>
      </w:r>
    </w:p>
    <w:p w14:paraId="17E39049" w14:textId="77777777" w:rsidR="00833617" w:rsidRPr="00BE236B" w:rsidRDefault="00833617" w:rsidP="00833617">
      <w:pPr>
        <w:autoSpaceDE w:val="0"/>
        <w:autoSpaceDN w:val="0"/>
        <w:adjustRightInd w:val="0"/>
        <w:rPr>
          <w:rFonts w:ascii="Arial" w:hAnsi="Arial" w:cs="Arial"/>
          <w:u w:val="dotted"/>
        </w:rPr>
      </w:pPr>
    </w:p>
    <w:p w14:paraId="1022F2F3" w14:textId="71EA6B63" w:rsidR="00833617" w:rsidRPr="00861747" w:rsidRDefault="00833617" w:rsidP="00833617">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IEC 61851-23:2023 applies to the EV supply equipment to provide energy transfer between the supply network and electric vehicles (EVs), with a rated maximum voltage at side A of up to 1 000 V AC or up to 1 500 V DC and a rated maximum voltage at side B up to 1 500 V DC.</w:t>
      </w:r>
      <w:r>
        <w:br/>
        <w:t>This document specifies the EV supply equipment of system A, system B and system C as defined in Annex AA, Annex BB and Annex CC. Other systems are under consideration.</w:t>
      </w:r>
    </w:p>
    <w:p w14:paraId="57DF6137" w14:textId="63C1FF61" w:rsidR="00833617" w:rsidRDefault="00833617" w:rsidP="00BE0CED">
      <w:pPr>
        <w:autoSpaceDE w:val="0"/>
        <w:autoSpaceDN w:val="0"/>
        <w:adjustRightInd w:val="0"/>
        <w:jc w:val="both"/>
        <w:rPr>
          <w:lang w:val="en-KE"/>
        </w:rPr>
      </w:pPr>
      <w:hyperlink r:id="rId19" w:history="1">
        <w:r w:rsidRPr="00857D00">
          <w:rPr>
            <w:rStyle w:val="Hyperlink"/>
            <w:lang w:val="en-KE"/>
          </w:rPr>
          <w:t>https://webstore.iec.ch/publication/32973</w:t>
        </w:r>
      </w:hyperlink>
    </w:p>
    <w:p w14:paraId="7D1D63B3" w14:textId="77777777" w:rsidR="00BE0CED" w:rsidRDefault="00BE0CED" w:rsidP="00BE0CED">
      <w:pPr>
        <w:autoSpaceDE w:val="0"/>
        <w:autoSpaceDN w:val="0"/>
        <w:adjustRightInd w:val="0"/>
        <w:jc w:val="both"/>
        <w:rPr>
          <w:lang w:val="en-KE"/>
        </w:rPr>
      </w:pPr>
    </w:p>
    <w:p w14:paraId="69CE55AF" w14:textId="44C5DE95" w:rsidR="00833617" w:rsidRPr="00833617" w:rsidRDefault="00833617" w:rsidP="00833617">
      <w:pPr>
        <w:pStyle w:val="ListParagraph"/>
        <w:numPr>
          <w:ilvl w:val="0"/>
          <w:numId w:val="7"/>
        </w:numPr>
        <w:autoSpaceDE w:val="0"/>
        <w:autoSpaceDN w:val="0"/>
        <w:adjustRightInd w:val="0"/>
        <w:spacing w:before="120" w:after="120"/>
        <w:jc w:val="both"/>
        <w:rPr>
          <w:rFonts w:ascii="Arial" w:hAnsi="Arial" w:cs="Arial"/>
          <w:u w:val="dotted"/>
        </w:rPr>
      </w:pPr>
      <w:r w:rsidRPr="00833617">
        <w:rPr>
          <w:rFonts w:ascii="Arial" w:hAnsi="Arial" w:cs="Arial"/>
          <w:b/>
        </w:rPr>
        <w:t>Number</w:t>
      </w:r>
      <w:r w:rsidRPr="00833617">
        <w:rPr>
          <w:rFonts w:ascii="Arial" w:hAnsi="Arial" w:cs="Arial"/>
        </w:rPr>
        <w:t>:</w:t>
      </w:r>
      <w:r w:rsidRPr="00A5709E">
        <w:t xml:space="preserve"> </w:t>
      </w:r>
      <w:r w:rsidRPr="00833617">
        <w:rPr>
          <w:rFonts w:ascii="Arial" w:hAnsi="Arial" w:cs="Arial"/>
          <w:color w:val="FF0000"/>
          <w:u w:val="dotted"/>
        </w:rPr>
        <w:t>IEC 61851-24:2023</w:t>
      </w:r>
    </w:p>
    <w:p w14:paraId="2BBA13F6" w14:textId="6D738775" w:rsidR="00833617" w:rsidRPr="00833617" w:rsidRDefault="00833617" w:rsidP="00833617">
      <w:pPr>
        <w:pStyle w:val="ListParagraph"/>
        <w:autoSpaceDE w:val="0"/>
        <w:autoSpaceDN w:val="0"/>
        <w:adjustRightInd w:val="0"/>
        <w:spacing w:before="120" w:after="120"/>
        <w:jc w:val="both"/>
        <w:rPr>
          <w:rFonts w:ascii="Arial" w:hAnsi="Arial" w:cs="Arial"/>
          <w:u w:val="dotted"/>
        </w:rPr>
      </w:pPr>
      <w:r w:rsidRPr="00833617">
        <w:rPr>
          <w:rFonts w:ascii="Arial" w:hAnsi="Arial" w:cs="Arial"/>
          <w:b/>
        </w:rPr>
        <w:t>Title</w:t>
      </w:r>
      <w:r w:rsidRPr="00833617">
        <w:rPr>
          <w:rFonts w:ascii="Arial" w:hAnsi="Arial" w:cs="Arial"/>
        </w:rPr>
        <w:t xml:space="preserve">: </w:t>
      </w:r>
      <w:r w:rsidRPr="00833617">
        <w:rPr>
          <w:rFonts w:ascii="Arial" w:hAnsi="Arial" w:cs="Arial"/>
          <w:u w:val="dotted"/>
        </w:rPr>
        <w:t>Electric vehicle conductive charging system - Part 24: Digital communication between a DC EV supply equipment and an electric vehicle for control of DC charging</w:t>
      </w:r>
    </w:p>
    <w:p w14:paraId="1C9C81BC" w14:textId="77777777" w:rsidR="00833617" w:rsidRPr="00BE236B" w:rsidRDefault="00833617" w:rsidP="00833617">
      <w:pPr>
        <w:autoSpaceDE w:val="0"/>
        <w:autoSpaceDN w:val="0"/>
        <w:adjustRightInd w:val="0"/>
        <w:rPr>
          <w:rFonts w:ascii="Arial" w:hAnsi="Arial" w:cs="Arial"/>
          <w:u w:val="dotted"/>
        </w:rPr>
      </w:pPr>
    </w:p>
    <w:p w14:paraId="3B29DA12" w14:textId="33B524E4" w:rsidR="00833617" w:rsidRPr="00861747" w:rsidRDefault="00833617" w:rsidP="00833617">
      <w:pPr>
        <w:tabs>
          <w:tab w:val="right" w:leader="dot" w:pos="9000"/>
        </w:tabs>
        <w:autoSpaceDE w:val="0"/>
        <w:autoSpaceDN w:val="0"/>
        <w:adjustRightInd w:val="0"/>
        <w:ind w:left="360"/>
        <w:rPr>
          <w:lang w:val="en-KE"/>
        </w:rPr>
      </w:pPr>
      <w:r>
        <w:rPr>
          <w:rFonts w:ascii="Arial" w:hAnsi="Arial" w:cs="Arial"/>
          <w:b/>
        </w:rPr>
        <w:t xml:space="preserve">         </w:t>
      </w:r>
      <w:r w:rsidRPr="00A5709E">
        <w:rPr>
          <w:rFonts w:ascii="Arial" w:hAnsi="Arial" w:cs="Arial"/>
          <w:b/>
        </w:rPr>
        <w:t>Scope</w:t>
      </w:r>
      <w:r>
        <w:rPr>
          <w:rFonts w:ascii="Arial" w:hAnsi="Arial" w:cs="Arial"/>
        </w:rPr>
        <w:t>:</w:t>
      </w:r>
      <w:r w:rsidRPr="00C06AA1">
        <w:t xml:space="preserve"> </w:t>
      </w:r>
      <w:r>
        <w:t>IEC 61851-24:2023, together with IEC 61851-23, applies to digital communication between a DC EV supply equipment and an electric road vehicle (EV) for control of conductive DC power transfer, with a rated supply voltage up to 1 000 V AC or up to 1 500 V DC and a rated output voltage up to 1 500 V DC.</w:t>
      </w:r>
      <w:r>
        <w:br/>
        <w:t>This document also applies to digital communication between the DC EV charging/discharging station and the EV for system A, as specified in Annex A.</w:t>
      </w:r>
      <w:r>
        <w:br/>
        <w:t>The EV charging mode is mode 4, according to IEC 61851-23.</w:t>
      </w:r>
    </w:p>
    <w:p w14:paraId="6B362615" w14:textId="2099AE39" w:rsidR="00BE0CED" w:rsidRDefault="00833617" w:rsidP="00861747">
      <w:pPr>
        <w:autoSpaceDE w:val="0"/>
        <w:autoSpaceDN w:val="0"/>
        <w:adjustRightInd w:val="0"/>
        <w:jc w:val="both"/>
        <w:rPr>
          <w:lang w:val="en-KE"/>
        </w:rPr>
      </w:pPr>
      <w:hyperlink r:id="rId20" w:history="1">
        <w:r w:rsidRPr="00857D00">
          <w:rPr>
            <w:rStyle w:val="Hyperlink"/>
            <w:lang w:val="en-KE"/>
          </w:rPr>
          <w:t>https://webstore.iec.ch/publication/32582</w:t>
        </w:r>
      </w:hyperlink>
    </w:p>
    <w:p w14:paraId="43EDA991" w14:textId="77777777" w:rsidR="00833617" w:rsidRDefault="00833617" w:rsidP="00861747">
      <w:pPr>
        <w:autoSpaceDE w:val="0"/>
        <w:autoSpaceDN w:val="0"/>
        <w:adjustRightInd w:val="0"/>
        <w:jc w:val="both"/>
        <w:rPr>
          <w:lang w:val="en-KE"/>
        </w:rPr>
      </w:pPr>
    </w:p>
    <w:p w14:paraId="5F89C3F8" w14:textId="77777777" w:rsidR="00BE0CED" w:rsidRDefault="00BE0CED" w:rsidP="00861747">
      <w:pPr>
        <w:autoSpaceDE w:val="0"/>
        <w:autoSpaceDN w:val="0"/>
        <w:adjustRightInd w:val="0"/>
        <w:jc w:val="both"/>
        <w:rPr>
          <w:lang w:val="en-KE"/>
        </w:rPr>
      </w:pPr>
    </w:p>
    <w:p w14:paraId="3354B262" w14:textId="77777777" w:rsidR="00A431EE" w:rsidRPr="00A431EE" w:rsidRDefault="00A431EE" w:rsidP="00861747">
      <w:pPr>
        <w:autoSpaceDE w:val="0"/>
        <w:autoSpaceDN w:val="0"/>
        <w:adjustRightInd w:val="0"/>
        <w:jc w:val="both"/>
        <w:rPr>
          <w:lang w:val="en-KE"/>
        </w:rPr>
      </w:pPr>
    </w:p>
    <w:p w14:paraId="5CCB5846" w14:textId="77777777" w:rsidR="00531757" w:rsidRPr="00531757" w:rsidRDefault="00531757" w:rsidP="00861747">
      <w:pPr>
        <w:autoSpaceDE w:val="0"/>
        <w:autoSpaceDN w:val="0"/>
        <w:adjustRightInd w:val="0"/>
        <w:jc w:val="both"/>
        <w:rPr>
          <w:lang w:val="en-KE"/>
        </w:rPr>
      </w:pPr>
    </w:p>
    <w:p w14:paraId="3F0D723B" w14:textId="77777777" w:rsidR="00BE236B" w:rsidRPr="00BE236B" w:rsidRDefault="00BE236B" w:rsidP="00BE236B">
      <w:pPr>
        <w:autoSpaceDE w:val="0"/>
        <w:autoSpaceDN w:val="0"/>
        <w:adjustRightInd w:val="0"/>
        <w:jc w:val="both"/>
        <w:rPr>
          <w:rFonts w:ascii="Arial Narrow" w:hAnsi="Arial Narrow" w:cs="Arial"/>
          <w:lang w:val="en-KE"/>
        </w:rPr>
      </w:pPr>
    </w:p>
    <w:p w14:paraId="119AEF6C" w14:textId="384DE853"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556197" w:rsidRDefault="007D7BDE" w:rsidP="007D7BDE">
      <w:pPr>
        <w:autoSpaceDE w:val="0"/>
        <w:autoSpaceDN w:val="0"/>
        <w:adjustRightInd w:val="0"/>
        <w:jc w:val="both"/>
        <w:rPr>
          <w:rFonts w:ascii="Arial Narrow" w:hAnsi="Arial Narrow" w:cs="Arial"/>
        </w:rPr>
      </w:pPr>
    </w:p>
    <w:p w14:paraId="53E2157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acceptable as presented</w:t>
      </w:r>
    </w:p>
    <w:p w14:paraId="2070044F"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7AB59A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DEEC669" w14:textId="77777777" w:rsidR="007D7BDE" w:rsidRPr="00556197" w:rsidRDefault="007D7BDE" w:rsidP="007D7BDE">
      <w:pPr>
        <w:autoSpaceDE w:val="0"/>
        <w:autoSpaceDN w:val="0"/>
        <w:adjustRightInd w:val="0"/>
        <w:jc w:val="both"/>
        <w:rPr>
          <w:rFonts w:ascii="Arial Narrow" w:hAnsi="Arial Narrow" w:cs="Arial"/>
        </w:rPr>
      </w:pPr>
    </w:p>
    <w:p w14:paraId="5FF826A6"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proposal not acceptable because of the reason(s) below</w:t>
      </w:r>
    </w:p>
    <w:p w14:paraId="34D3F9FC"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B3BF0E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656B9AB" w14:textId="77777777" w:rsidR="007D7BDE" w:rsidRPr="00556197" w:rsidRDefault="007D7BDE" w:rsidP="007D7BDE">
      <w:pPr>
        <w:autoSpaceDE w:val="0"/>
        <w:autoSpaceDN w:val="0"/>
        <w:adjustRightInd w:val="0"/>
        <w:jc w:val="both"/>
        <w:rPr>
          <w:rFonts w:ascii="Arial Narrow" w:hAnsi="Arial Narrow" w:cs="Arial"/>
        </w:rPr>
      </w:pPr>
    </w:p>
    <w:p w14:paraId="61F6145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r>
      <w:r w:rsidRPr="00556197">
        <w:rPr>
          <w:rFonts w:ascii="Arial Narrow" w:hAnsi="Arial Narrow" w:cs="Arial"/>
        </w:rPr>
        <w:tab/>
        <w:t>Our Recommendations are as follows</w:t>
      </w:r>
    </w:p>
    <w:p w14:paraId="7285C12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968F39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5FB0818" w14:textId="77777777" w:rsidR="007D7BDE" w:rsidRPr="00556197" w:rsidRDefault="007D7BDE" w:rsidP="007D7BDE">
      <w:pPr>
        <w:autoSpaceDE w:val="0"/>
        <w:autoSpaceDN w:val="0"/>
        <w:adjustRightInd w:val="0"/>
        <w:jc w:val="both"/>
        <w:rPr>
          <w:rFonts w:ascii="Arial Narrow" w:hAnsi="Arial Narrow" w:cs="Arial"/>
        </w:rPr>
      </w:pPr>
    </w:p>
    <w:p w14:paraId="4CF0B7A2"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Name and Signature (of respondent): ................................................ </w:t>
      </w:r>
    </w:p>
    <w:p w14:paraId="049F31CB" w14:textId="77777777" w:rsidR="007D7BDE" w:rsidRPr="00556197" w:rsidRDefault="007D7BDE" w:rsidP="007D7BDE">
      <w:pPr>
        <w:autoSpaceDE w:val="0"/>
        <w:autoSpaceDN w:val="0"/>
        <w:adjustRightInd w:val="0"/>
        <w:jc w:val="both"/>
        <w:rPr>
          <w:rFonts w:ascii="Arial Narrow" w:hAnsi="Arial Narrow" w:cs="Arial"/>
        </w:rPr>
      </w:pPr>
    </w:p>
    <w:p w14:paraId="69400B45"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Position (of respondent): .....................................</w:t>
      </w:r>
    </w:p>
    <w:p w14:paraId="53128261" w14:textId="77777777" w:rsidR="007D7BDE" w:rsidRPr="00556197" w:rsidRDefault="007D7BDE" w:rsidP="007D7BDE">
      <w:pPr>
        <w:autoSpaceDE w:val="0"/>
        <w:autoSpaceDN w:val="0"/>
        <w:adjustRightInd w:val="0"/>
        <w:jc w:val="both"/>
        <w:rPr>
          <w:rFonts w:ascii="Arial Narrow" w:hAnsi="Arial Narrow" w:cs="Arial"/>
        </w:rPr>
      </w:pPr>
    </w:p>
    <w:p w14:paraId="76CDBA3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On behalf of ......................................................................................... (Name of organization)</w:t>
      </w:r>
    </w:p>
    <w:p w14:paraId="62486C05" w14:textId="77777777" w:rsidR="007D7BDE" w:rsidRPr="00556197" w:rsidRDefault="007D7BDE" w:rsidP="007D7BDE">
      <w:pPr>
        <w:autoSpaceDE w:val="0"/>
        <w:autoSpaceDN w:val="0"/>
        <w:adjustRightInd w:val="0"/>
        <w:jc w:val="both"/>
        <w:rPr>
          <w:rFonts w:ascii="Arial Narrow" w:hAnsi="Arial Narrow" w:cs="Arial"/>
        </w:rPr>
      </w:pPr>
    </w:p>
    <w:p w14:paraId="6128FEE4"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Date .........................................................................</w:t>
      </w:r>
    </w:p>
    <w:p w14:paraId="4101652C" w14:textId="77777777" w:rsidR="007D7BDE" w:rsidRPr="00556197" w:rsidRDefault="007D7BDE" w:rsidP="007D7BDE">
      <w:pPr>
        <w:autoSpaceDE w:val="0"/>
        <w:autoSpaceDN w:val="0"/>
        <w:adjustRightInd w:val="0"/>
        <w:jc w:val="both"/>
        <w:rPr>
          <w:rFonts w:ascii="Arial Narrow" w:hAnsi="Arial Narrow" w:cs="Arial"/>
          <w:b/>
          <w:bCs/>
        </w:rPr>
      </w:pPr>
    </w:p>
    <w:p w14:paraId="4B99056E" w14:textId="77777777" w:rsidR="007D7BDE" w:rsidRPr="00556197" w:rsidRDefault="007D7BDE" w:rsidP="007D7BDE">
      <w:pPr>
        <w:autoSpaceDE w:val="0"/>
        <w:autoSpaceDN w:val="0"/>
        <w:adjustRightInd w:val="0"/>
        <w:jc w:val="both"/>
        <w:rPr>
          <w:rFonts w:ascii="Arial Narrow" w:hAnsi="Arial Narrow" w:cs="Arial"/>
          <w:b/>
          <w:bCs/>
        </w:rPr>
      </w:pPr>
    </w:p>
    <w:p w14:paraId="6B363B5F" w14:textId="77777777" w:rsidR="007D7BDE" w:rsidRDefault="007D7BDE" w:rsidP="007D7BDE">
      <w:pPr>
        <w:autoSpaceDE w:val="0"/>
        <w:autoSpaceDN w:val="0"/>
        <w:adjustRightInd w:val="0"/>
        <w:jc w:val="both"/>
        <w:rPr>
          <w:rFonts w:ascii="Arial Narrow" w:hAnsi="Arial Narrow" w:cs="Arial"/>
          <w:bCs/>
        </w:rPr>
      </w:pPr>
      <w:r w:rsidRPr="00556197">
        <w:rPr>
          <w:rFonts w:ascii="Arial Narrow" w:hAnsi="Arial Narrow" w:cs="Arial"/>
          <w:b/>
          <w:bCs/>
        </w:rPr>
        <w:t xml:space="preserve">NOTE: </w:t>
      </w:r>
      <w:r w:rsidRPr="00556197">
        <w:rPr>
          <w:rFonts w:ascii="Arial Narrow" w:hAnsi="Arial Narrow" w:cs="Arial"/>
          <w:bCs/>
        </w:rPr>
        <w:t xml:space="preserve">Absence of any reply or comments shall be deemed to be an acceptance of the proposal for adoption and </w:t>
      </w:r>
      <w:r w:rsidRPr="00556197">
        <w:rPr>
          <w:rFonts w:ascii="Arial Narrow" w:hAnsi="Arial Narrow" w:cs="Arial"/>
          <w:b/>
        </w:rPr>
        <w:t>shall constitute an approval vote</w:t>
      </w:r>
      <w:r w:rsidRPr="00556197">
        <w:rPr>
          <w:rFonts w:ascii="Arial Narrow" w:hAnsi="Arial Narrow" w:cs="Arial"/>
          <w:bCs/>
        </w:rPr>
        <w:t>.</w:t>
      </w:r>
    </w:p>
    <w:p w14:paraId="31332DA9" w14:textId="77777777" w:rsidR="00DF3C89" w:rsidRDefault="00DF3C89" w:rsidP="007D7BDE">
      <w:pPr>
        <w:autoSpaceDE w:val="0"/>
        <w:autoSpaceDN w:val="0"/>
        <w:adjustRightInd w:val="0"/>
        <w:jc w:val="both"/>
        <w:rPr>
          <w:rFonts w:ascii="Arial Narrow" w:hAnsi="Arial Narrow" w:cs="Arial"/>
          <w:bCs/>
        </w:rPr>
      </w:pPr>
    </w:p>
    <w:p w14:paraId="1F543A1C" w14:textId="77777777" w:rsidR="00DF3C89" w:rsidRDefault="00DF3C89" w:rsidP="007D7BDE">
      <w:pPr>
        <w:autoSpaceDE w:val="0"/>
        <w:autoSpaceDN w:val="0"/>
        <w:adjustRightInd w:val="0"/>
        <w:jc w:val="both"/>
        <w:rPr>
          <w:rFonts w:ascii="Arial Narrow" w:hAnsi="Arial Narrow" w:cs="Arial"/>
          <w:bCs/>
        </w:rPr>
      </w:pPr>
    </w:p>
    <w:p w14:paraId="0159E00C" w14:textId="77777777" w:rsidR="00DF3C89" w:rsidRDefault="00DF3C89" w:rsidP="007D7BDE">
      <w:pPr>
        <w:autoSpaceDE w:val="0"/>
        <w:autoSpaceDN w:val="0"/>
        <w:adjustRightInd w:val="0"/>
        <w:jc w:val="both"/>
        <w:rPr>
          <w:rFonts w:ascii="Arial Narrow" w:hAnsi="Arial Narrow" w:cs="Arial"/>
          <w:bCs/>
        </w:rPr>
      </w:pPr>
    </w:p>
    <w:p w14:paraId="21ABD5DD" w14:textId="77777777" w:rsidR="00DF3C89" w:rsidRDefault="00DF3C89" w:rsidP="007D7BDE">
      <w:pPr>
        <w:autoSpaceDE w:val="0"/>
        <w:autoSpaceDN w:val="0"/>
        <w:adjustRightInd w:val="0"/>
        <w:jc w:val="both"/>
        <w:rPr>
          <w:rFonts w:ascii="Arial Narrow" w:hAnsi="Arial Narrow"/>
        </w:rPr>
      </w:pPr>
    </w:p>
    <w:p w14:paraId="227B27C3" w14:textId="77777777" w:rsidR="00EA6D9E" w:rsidRDefault="00EA6D9E" w:rsidP="007D7BDE">
      <w:pPr>
        <w:autoSpaceDE w:val="0"/>
        <w:autoSpaceDN w:val="0"/>
        <w:adjustRightInd w:val="0"/>
        <w:jc w:val="both"/>
        <w:rPr>
          <w:rFonts w:ascii="Arial Narrow" w:hAnsi="Arial Narrow"/>
        </w:rPr>
      </w:pPr>
    </w:p>
    <w:p w14:paraId="4D1FAA56" w14:textId="77777777" w:rsidR="00EA6D9E" w:rsidRDefault="00EA6D9E" w:rsidP="007D7BDE">
      <w:pPr>
        <w:autoSpaceDE w:val="0"/>
        <w:autoSpaceDN w:val="0"/>
        <w:adjustRightInd w:val="0"/>
        <w:jc w:val="both"/>
        <w:rPr>
          <w:rFonts w:ascii="Arial Narrow" w:hAnsi="Arial Narrow"/>
        </w:rPr>
      </w:pPr>
    </w:p>
    <w:p w14:paraId="07A87365" w14:textId="77777777" w:rsidR="00EA6D9E" w:rsidRDefault="00EA6D9E" w:rsidP="007D7BDE">
      <w:pPr>
        <w:autoSpaceDE w:val="0"/>
        <w:autoSpaceDN w:val="0"/>
        <w:adjustRightInd w:val="0"/>
        <w:jc w:val="both"/>
        <w:rPr>
          <w:rFonts w:ascii="Arial Narrow" w:hAnsi="Arial Narrow"/>
        </w:rPr>
      </w:pPr>
    </w:p>
    <w:p w14:paraId="422057AC" w14:textId="77777777" w:rsidR="00EA6D9E" w:rsidRDefault="00EA6D9E" w:rsidP="007D7BDE">
      <w:pPr>
        <w:autoSpaceDE w:val="0"/>
        <w:autoSpaceDN w:val="0"/>
        <w:adjustRightInd w:val="0"/>
        <w:jc w:val="both"/>
        <w:rPr>
          <w:rFonts w:ascii="Arial Narrow" w:hAnsi="Arial Narrow"/>
        </w:rPr>
      </w:pPr>
    </w:p>
    <w:p w14:paraId="6B0A5398" w14:textId="77777777" w:rsidR="00EA6D9E" w:rsidRDefault="00EA6D9E" w:rsidP="007D7BDE">
      <w:pPr>
        <w:autoSpaceDE w:val="0"/>
        <w:autoSpaceDN w:val="0"/>
        <w:adjustRightInd w:val="0"/>
        <w:jc w:val="both"/>
        <w:rPr>
          <w:rFonts w:ascii="Arial Narrow" w:hAnsi="Arial Narrow"/>
        </w:rPr>
      </w:pPr>
    </w:p>
    <w:p w14:paraId="5C5F0A1F" w14:textId="77777777" w:rsidR="00EA6D9E" w:rsidRDefault="00EA6D9E" w:rsidP="007D7BDE">
      <w:pPr>
        <w:autoSpaceDE w:val="0"/>
        <w:autoSpaceDN w:val="0"/>
        <w:adjustRightInd w:val="0"/>
        <w:jc w:val="both"/>
        <w:rPr>
          <w:rFonts w:ascii="Arial Narrow" w:hAnsi="Arial Narrow"/>
        </w:rPr>
      </w:pPr>
    </w:p>
    <w:p w14:paraId="30AB4F98" w14:textId="77777777" w:rsidR="00EA6D9E" w:rsidRDefault="00EA6D9E" w:rsidP="007D7BDE">
      <w:pPr>
        <w:autoSpaceDE w:val="0"/>
        <w:autoSpaceDN w:val="0"/>
        <w:adjustRightInd w:val="0"/>
        <w:jc w:val="both"/>
        <w:rPr>
          <w:rFonts w:ascii="Arial Narrow" w:hAnsi="Arial Narrow"/>
        </w:rPr>
      </w:pPr>
    </w:p>
    <w:p w14:paraId="5D4B2834" w14:textId="77777777" w:rsidR="00EA6D9E" w:rsidRDefault="00EA6D9E" w:rsidP="007D7BDE">
      <w:pPr>
        <w:autoSpaceDE w:val="0"/>
        <w:autoSpaceDN w:val="0"/>
        <w:adjustRightInd w:val="0"/>
        <w:jc w:val="both"/>
        <w:rPr>
          <w:rFonts w:ascii="Arial Narrow" w:hAnsi="Arial Narrow"/>
        </w:rPr>
      </w:pPr>
    </w:p>
    <w:p w14:paraId="18F4D7CE" w14:textId="77777777" w:rsidR="00EA6D9E" w:rsidRDefault="00EA6D9E" w:rsidP="007D7BDE">
      <w:pPr>
        <w:autoSpaceDE w:val="0"/>
        <w:autoSpaceDN w:val="0"/>
        <w:adjustRightInd w:val="0"/>
        <w:jc w:val="both"/>
        <w:rPr>
          <w:rFonts w:ascii="Arial Narrow" w:hAnsi="Arial Narrow"/>
        </w:rPr>
      </w:pPr>
    </w:p>
    <w:p w14:paraId="34F28ED9" w14:textId="77777777" w:rsidR="00EA6D9E" w:rsidRDefault="00EA6D9E" w:rsidP="007D7BDE">
      <w:pPr>
        <w:autoSpaceDE w:val="0"/>
        <w:autoSpaceDN w:val="0"/>
        <w:adjustRightInd w:val="0"/>
        <w:jc w:val="both"/>
        <w:rPr>
          <w:rFonts w:ascii="Arial Narrow" w:hAnsi="Arial Narrow"/>
        </w:rPr>
      </w:pPr>
    </w:p>
    <w:p w14:paraId="4D44E303" w14:textId="77777777" w:rsidR="00EA6D9E" w:rsidRPr="00556197" w:rsidRDefault="00EA6D9E" w:rsidP="007D7BDE">
      <w:pPr>
        <w:autoSpaceDE w:val="0"/>
        <w:autoSpaceDN w:val="0"/>
        <w:adjustRightInd w:val="0"/>
        <w:jc w:val="both"/>
        <w:rPr>
          <w:rFonts w:ascii="Arial Narrow" w:hAnsi="Arial Narrow"/>
        </w:rPr>
      </w:pPr>
    </w:p>
    <w:p w14:paraId="1299C43A" w14:textId="77777777" w:rsidR="007D7BDE" w:rsidRDefault="007D7BDE" w:rsidP="007D7BDE">
      <w:pPr>
        <w:autoSpaceDE w:val="0"/>
        <w:autoSpaceDN w:val="0"/>
        <w:adjustRightInd w:val="0"/>
        <w:jc w:val="both"/>
        <w:rPr>
          <w:rFonts w:ascii="Arial Narrow" w:hAnsi="Arial Narrow" w:cs="Arial"/>
          <w:b/>
          <w:bCs/>
        </w:rPr>
      </w:pPr>
    </w:p>
    <w:p w14:paraId="10AF7463" w14:textId="77777777" w:rsidR="00DF3C89" w:rsidRPr="000112E3" w:rsidRDefault="00DF3C89" w:rsidP="00DF3C89">
      <w:pPr>
        <w:autoSpaceDE w:val="0"/>
        <w:autoSpaceDN w:val="0"/>
        <w:adjustRightInd w:val="0"/>
        <w:jc w:val="center"/>
        <w:rPr>
          <w:rFonts w:ascii="Arial" w:hAnsi="Arial" w:cs="Arial"/>
          <w:b/>
          <w:lang w:val="en-GB"/>
        </w:rPr>
      </w:pPr>
      <w:r w:rsidRPr="00351549">
        <w:rPr>
          <w:rFonts w:ascii="Arial" w:hAnsi="Arial" w:cs="Arial"/>
          <w:b/>
          <w:lang w:val="en-GB"/>
        </w:rPr>
        <w:t>ADOPTION PROPOSAL</w:t>
      </w:r>
    </w:p>
    <w:p w14:paraId="31366CF5" w14:textId="77777777" w:rsidR="00DF3C89" w:rsidRDefault="00DF3C89" w:rsidP="007D7BDE">
      <w:pPr>
        <w:autoSpaceDE w:val="0"/>
        <w:autoSpaceDN w:val="0"/>
        <w:adjustRightInd w:val="0"/>
        <w:jc w:val="both"/>
        <w:rPr>
          <w:rFonts w:ascii="Arial Narrow" w:hAnsi="Arial Narrow" w:cs="Arial"/>
          <w:b/>
          <w:bCs/>
        </w:rPr>
      </w:pPr>
    </w:p>
    <w:tbl>
      <w:tblPr>
        <w:tblpPr w:leftFromText="180" w:rightFromText="180" w:vertAnchor="text" w:horzAnchor="margin" w:tblpXSpec="center" w:tblpY="110"/>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275"/>
        <w:gridCol w:w="1418"/>
        <w:gridCol w:w="2551"/>
        <w:gridCol w:w="2861"/>
      </w:tblGrid>
      <w:tr w:rsidR="00DF3C89" w14:paraId="26B9E51E" w14:textId="77777777" w:rsidTr="008E6F61">
        <w:trPr>
          <w:trHeight w:val="655"/>
          <w:tblHeader/>
        </w:trPr>
        <w:tc>
          <w:tcPr>
            <w:tcW w:w="704" w:type="dxa"/>
          </w:tcPr>
          <w:p w14:paraId="6E0CD3B3" w14:textId="77777777" w:rsidR="00DF3C89" w:rsidRPr="001D7A55" w:rsidRDefault="00DF3C89" w:rsidP="003E7192">
            <w:pPr>
              <w:rPr>
                <w:rFonts w:ascii="Arial" w:hAnsi="Arial" w:cs="Arial"/>
                <w:b/>
              </w:rPr>
            </w:pPr>
            <w:r>
              <w:rPr>
                <w:rFonts w:ascii="Arial" w:hAnsi="Arial" w:cs="Arial"/>
                <w:b/>
              </w:rPr>
              <w:t>S/No.</w:t>
            </w:r>
          </w:p>
        </w:tc>
        <w:tc>
          <w:tcPr>
            <w:tcW w:w="1985" w:type="dxa"/>
          </w:tcPr>
          <w:p w14:paraId="7D227249" w14:textId="77777777" w:rsidR="00DF3C89" w:rsidRPr="001D7A55" w:rsidRDefault="00DF3C89" w:rsidP="003E7192">
            <w:pPr>
              <w:rPr>
                <w:rFonts w:ascii="Arial" w:hAnsi="Arial" w:cs="Arial"/>
                <w:b/>
              </w:rPr>
            </w:pPr>
            <w:r w:rsidRPr="001D7A55">
              <w:rPr>
                <w:rFonts w:ascii="Arial" w:hAnsi="Arial" w:cs="Arial"/>
                <w:b/>
              </w:rPr>
              <w:t>Standard Number</w:t>
            </w:r>
          </w:p>
        </w:tc>
        <w:tc>
          <w:tcPr>
            <w:tcW w:w="1275" w:type="dxa"/>
          </w:tcPr>
          <w:p w14:paraId="2D8748E4" w14:textId="77777777" w:rsidR="00DF3C89" w:rsidRPr="001D7A55" w:rsidRDefault="00DF3C89" w:rsidP="003E7192">
            <w:pPr>
              <w:rPr>
                <w:rFonts w:ascii="Arial" w:hAnsi="Arial" w:cs="Arial"/>
                <w:b/>
              </w:rPr>
            </w:pPr>
            <w:r w:rsidRPr="001D7A55">
              <w:rPr>
                <w:rFonts w:ascii="Arial" w:hAnsi="Arial" w:cs="Arial"/>
                <w:b/>
              </w:rPr>
              <w:t>Adoption acceptable as presented</w:t>
            </w:r>
          </w:p>
        </w:tc>
        <w:tc>
          <w:tcPr>
            <w:tcW w:w="1418" w:type="dxa"/>
          </w:tcPr>
          <w:p w14:paraId="3A041BBC" w14:textId="77777777" w:rsidR="00DF3C89" w:rsidRPr="001D7A55" w:rsidRDefault="00DF3C89" w:rsidP="003E7192">
            <w:pPr>
              <w:rPr>
                <w:rFonts w:ascii="Arial" w:hAnsi="Arial" w:cs="Arial"/>
                <w:b/>
              </w:rPr>
            </w:pPr>
            <w:r w:rsidRPr="001D7A55">
              <w:rPr>
                <w:rFonts w:ascii="Arial" w:hAnsi="Arial" w:cs="Arial"/>
                <w:b/>
              </w:rPr>
              <w:t>Adoption proposal not acceptable</w:t>
            </w:r>
          </w:p>
        </w:tc>
        <w:tc>
          <w:tcPr>
            <w:tcW w:w="2551" w:type="dxa"/>
          </w:tcPr>
          <w:p w14:paraId="4AA8CB05" w14:textId="77777777" w:rsidR="00DF3C89" w:rsidRPr="001D7A55" w:rsidRDefault="00DF3C89" w:rsidP="003E7192">
            <w:pPr>
              <w:rPr>
                <w:rFonts w:ascii="Arial" w:hAnsi="Arial" w:cs="Arial"/>
                <w:b/>
              </w:rPr>
            </w:pPr>
            <w:r>
              <w:rPr>
                <w:rFonts w:ascii="Arial" w:hAnsi="Arial" w:cs="Arial"/>
                <w:b/>
              </w:rPr>
              <w:t>Reason why adoption proposal not acceptable</w:t>
            </w:r>
          </w:p>
        </w:tc>
        <w:tc>
          <w:tcPr>
            <w:tcW w:w="2861" w:type="dxa"/>
          </w:tcPr>
          <w:p w14:paraId="488162D8" w14:textId="77777777" w:rsidR="00DF3C89" w:rsidRPr="001D7A55" w:rsidRDefault="00DF3C89" w:rsidP="003E7192">
            <w:pPr>
              <w:rPr>
                <w:rFonts w:ascii="Arial" w:hAnsi="Arial" w:cs="Arial"/>
                <w:b/>
              </w:rPr>
            </w:pPr>
            <w:r w:rsidRPr="001D7A55">
              <w:rPr>
                <w:rFonts w:ascii="Arial" w:hAnsi="Arial" w:cs="Arial"/>
                <w:b/>
              </w:rPr>
              <w:t>Proposed Change</w:t>
            </w:r>
            <w:r>
              <w:rPr>
                <w:rFonts w:ascii="Arial" w:hAnsi="Arial" w:cs="Arial"/>
                <w:b/>
              </w:rPr>
              <w:t>/recommendation(s)</w:t>
            </w:r>
          </w:p>
        </w:tc>
      </w:tr>
      <w:tr w:rsidR="00DF3C89" w14:paraId="7EA635CB"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154C4B70" w14:textId="77777777" w:rsidR="00DF3C89" w:rsidRPr="00CF7A06" w:rsidRDefault="00DF3C89"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F6B3D2" w14:textId="0066DF6F" w:rsidR="00DF3C89" w:rsidRPr="00C407BA" w:rsidRDefault="00833617" w:rsidP="003E7192">
            <w:pPr>
              <w:rPr>
                <w:rFonts w:ascii="Arial Narrow" w:hAnsi="Arial Narrow"/>
                <w:color w:val="000000"/>
                <w:sz w:val="22"/>
                <w:szCs w:val="22"/>
              </w:rPr>
            </w:pPr>
            <w:r w:rsidRPr="00833617">
              <w:rPr>
                <w:rFonts w:ascii="Arial Narrow" w:hAnsi="Arial Narrow" w:cs="Arial"/>
                <w:sz w:val="22"/>
                <w:szCs w:val="22"/>
              </w:rPr>
              <w:t>IEC 62196-1:2022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5D589A" w14:textId="77777777" w:rsidR="00DF3C89" w:rsidRDefault="00DF3C89"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1CF990" w14:textId="77777777" w:rsidR="00DF3C89" w:rsidRDefault="00DF3C89"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9EFF8C" w14:textId="77777777" w:rsidR="00DF3C89" w:rsidRDefault="00DF3C89"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59BE8FF9" w14:textId="77777777" w:rsidR="00DF3C89" w:rsidRDefault="00DF3C89" w:rsidP="003E7192">
            <w:pPr>
              <w:rPr>
                <w:rFonts w:ascii="Calibri" w:hAnsi="Calibri"/>
                <w:color w:val="000000"/>
                <w:sz w:val="22"/>
                <w:szCs w:val="22"/>
              </w:rPr>
            </w:pPr>
          </w:p>
        </w:tc>
      </w:tr>
      <w:tr w:rsidR="00EA6D9E" w14:paraId="2578CAC3"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78C4314F" w14:textId="77777777" w:rsidR="00EA6D9E" w:rsidRPr="00CF7A06" w:rsidRDefault="00EA6D9E"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A49777" w14:textId="05BDF218" w:rsidR="00EA6D9E" w:rsidRPr="00DF3C89" w:rsidRDefault="00833617" w:rsidP="003E7192">
            <w:pPr>
              <w:rPr>
                <w:rFonts w:ascii="Arial Narrow" w:hAnsi="Arial Narrow" w:cs="Arial"/>
                <w:sz w:val="22"/>
                <w:szCs w:val="22"/>
              </w:rPr>
            </w:pPr>
            <w:r w:rsidRPr="00833617">
              <w:rPr>
                <w:rFonts w:ascii="Arial Narrow" w:hAnsi="Arial Narrow" w:cs="Arial"/>
                <w:sz w:val="22"/>
                <w:szCs w:val="22"/>
              </w:rPr>
              <w:t>IEC 62196-</w:t>
            </w:r>
            <w:r>
              <w:rPr>
                <w:rFonts w:ascii="Arial Narrow" w:hAnsi="Arial Narrow" w:cs="Arial"/>
                <w:sz w:val="22"/>
                <w:szCs w:val="22"/>
              </w:rPr>
              <w:t>2</w:t>
            </w:r>
            <w:r w:rsidRPr="00833617">
              <w:rPr>
                <w:rFonts w:ascii="Arial Narrow" w:hAnsi="Arial Narrow" w:cs="Arial"/>
                <w:sz w:val="22"/>
                <w:szCs w:val="22"/>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537C22" w14:textId="00A9A282" w:rsidR="00EA6D9E" w:rsidRDefault="00EA6D9E"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CDFE44" w14:textId="77777777" w:rsidR="00EA6D9E" w:rsidRDefault="00EA6D9E"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A04F58" w14:textId="77777777" w:rsidR="00EA6D9E" w:rsidRDefault="00EA6D9E"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1D10B83D" w14:textId="77777777" w:rsidR="00EA6D9E" w:rsidRDefault="00EA6D9E" w:rsidP="003E7192">
            <w:pPr>
              <w:rPr>
                <w:rFonts w:ascii="Calibri" w:hAnsi="Calibri"/>
                <w:color w:val="000000"/>
                <w:sz w:val="22"/>
                <w:szCs w:val="22"/>
              </w:rPr>
            </w:pPr>
          </w:p>
        </w:tc>
      </w:tr>
      <w:tr w:rsidR="00833617" w14:paraId="571C90BE"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0FE11E67"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581ABA" w14:textId="21577D62"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62196-</w:t>
            </w:r>
            <w:r>
              <w:rPr>
                <w:rFonts w:ascii="Arial Narrow" w:hAnsi="Arial Narrow" w:cs="Arial"/>
                <w:sz w:val="22"/>
                <w:szCs w:val="22"/>
              </w:rPr>
              <w:t>3</w:t>
            </w:r>
            <w:r w:rsidRPr="00833617">
              <w:rPr>
                <w:rFonts w:ascii="Arial Narrow" w:hAnsi="Arial Narrow" w:cs="Arial"/>
                <w:sz w:val="22"/>
                <w:szCs w:val="22"/>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062C16"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D60BA7"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289E055"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6E6FEE79" w14:textId="77777777" w:rsidR="00833617" w:rsidRDefault="00833617" w:rsidP="003E7192">
            <w:pPr>
              <w:rPr>
                <w:rFonts w:ascii="Calibri" w:hAnsi="Calibri"/>
                <w:color w:val="000000"/>
                <w:sz w:val="22"/>
                <w:szCs w:val="22"/>
              </w:rPr>
            </w:pPr>
          </w:p>
        </w:tc>
      </w:tr>
      <w:tr w:rsidR="00833617" w14:paraId="520D6FDE"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2E548503"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7F9D07" w14:textId="19E82F95"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62196-</w:t>
            </w:r>
            <w:r>
              <w:rPr>
                <w:rFonts w:ascii="Arial Narrow" w:hAnsi="Arial Narrow" w:cs="Arial"/>
                <w:sz w:val="22"/>
                <w:szCs w:val="22"/>
              </w:rPr>
              <w:t>4</w:t>
            </w:r>
            <w:r w:rsidRPr="00833617">
              <w:rPr>
                <w:rFonts w:ascii="Arial Narrow" w:hAnsi="Arial Narrow" w:cs="Arial"/>
                <w:sz w:val="22"/>
                <w:szCs w:val="22"/>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B806AF"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E54C34"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A93E8F"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5DD1BB5B" w14:textId="77777777" w:rsidR="00833617" w:rsidRDefault="00833617" w:rsidP="003E7192">
            <w:pPr>
              <w:rPr>
                <w:rFonts w:ascii="Calibri" w:hAnsi="Calibri"/>
                <w:color w:val="000000"/>
                <w:sz w:val="22"/>
                <w:szCs w:val="22"/>
              </w:rPr>
            </w:pPr>
          </w:p>
        </w:tc>
      </w:tr>
      <w:tr w:rsidR="00833617" w14:paraId="6B0C0565"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325B14BB"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3708CC" w14:textId="57B9C28A"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62196-</w:t>
            </w:r>
            <w:r>
              <w:rPr>
                <w:rFonts w:ascii="Arial Narrow" w:hAnsi="Arial Narrow" w:cs="Arial"/>
                <w:sz w:val="22"/>
                <w:szCs w:val="22"/>
              </w:rPr>
              <w:t>6</w:t>
            </w:r>
            <w:r w:rsidRPr="00833617">
              <w:rPr>
                <w:rFonts w:ascii="Arial Narrow" w:hAnsi="Arial Narrow" w:cs="Arial"/>
                <w:sz w:val="22"/>
                <w:szCs w:val="22"/>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596329"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DE8D9"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31A9537"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4DDB244A" w14:textId="77777777" w:rsidR="00833617" w:rsidRDefault="00833617" w:rsidP="003E7192">
            <w:pPr>
              <w:rPr>
                <w:rFonts w:ascii="Calibri" w:hAnsi="Calibri"/>
                <w:color w:val="000000"/>
                <w:sz w:val="22"/>
                <w:szCs w:val="22"/>
              </w:rPr>
            </w:pPr>
          </w:p>
        </w:tc>
      </w:tr>
      <w:tr w:rsidR="00833617" w14:paraId="39E3C3BC"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0F78525A"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FC009E" w14:textId="6C5C321B"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61851-1:2017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B07088"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DA0805"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726FF8"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2A3E7A3A" w14:textId="77777777" w:rsidR="00833617" w:rsidRDefault="00833617" w:rsidP="003E7192">
            <w:pPr>
              <w:rPr>
                <w:rFonts w:ascii="Calibri" w:hAnsi="Calibri"/>
                <w:color w:val="000000"/>
                <w:sz w:val="22"/>
                <w:szCs w:val="22"/>
              </w:rPr>
            </w:pPr>
          </w:p>
        </w:tc>
      </w:tr>
      <w:tr w:rsidR="00833617" w14:paraId="317F9D0D"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70A79333"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C6FEC4" w14:textId="5C37DABA"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61851-</w:t>
            </w:r>
            <w:r>
              <w:rPr>
                <w:rFonts w:ascii="Arial Narrow" w:hAnsi="Arial Narrow" w:cs="Arial"/>
                <w:sz w:val="22"/>
                <w:szCs w:val="22"/>
              </w:rPr>
              <w:t>2</w:t>
            </w:r>
            <w:r w:rsidRPr="00833617">
              <w:rPr>
                <w:rFonts w:ascii="Arial Narrow" w:hAnsi="Arial Narrow" w:cs="Arial"/>
                <w:sz w:val="22"/>
                <w:szCs w:val="22"/>
              </w:rPr>
              <w:t>1</w:t>
            </w:r>
            <w:r>
              <w:rPr>
                <w:rFonts w:ascii="Arial Narrow" w:hAnsi="Arial Narrow" w:cs="Arial"/>
                <w:sz w:val="22"/>
                <w:szCs w:val="22"/>
              </w:rPr>
              <w:t>-1</w:t>
            </w:r>
            <w:r w:rsidRPr="00833617">
              <w:rPr>
                <w:rFonts w:ascii="Arial Narrow" w:hAnsi="Arial Narrow" w:cs="Arial"/>
                <w:sz w:val="22"/>
                <w:szCs w:val="22"/>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288D21"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BB025B"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562EF4"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585434EF" w14:textId="77777777" w:rsidR="00833617" w:rsidRDefault="00833617" w:rsidP="003E7192">
            <w:pPr>
              <w:rPr>
                <w:rFonts w:ascii="Calibri" w:hAnsi="Calibri"/>
                <w:color w:val="000000"/>
                <w:sz w:val="22"/>
                <w:szCs w:val="22"/>
              </w:rPr>
            </w:pPr>
          </w:p>
        </w:tc>
      </w:tr>
      <w:tr w:rsidR="00833617" w14:paraId="1978ED7B"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4EEB98DF"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54950E" w14:textId="30B80DA0"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61851-</w:t>
            </w:r>
            <w:r>
              <w:rPr>
                <w:rFonts w:ascii="Arial Narrow" w:hAnsi="Arial Narrow" w:cs="Arial"/>
                <w:sz w:val="22"/>
                <w:szCs w:val="22"/>
              </w:rPr>
              <w:t>2</w:t>
            </w:r>
            <w:r w:rsidRPr="00833617">
              <w:rPr>
                <w:rFonts w:ascii="Arial Narrow" w:hAnsi="Arial Narrow" w:cs="Arial"/>
                <w:sz w:val="22"/>
                <w:szCs w:val="22"/>
              </w:rPr>
              <w:t>1</w:t>
            </w:r>
            <w:r>
              <w:rPr>
                <w:rFonts w:ascii="Arial Narrow" w:hAnsi="Arial Narrow" w:cs="Arial"/>
                <w:sz w:val="22"/>
                <w:szCs w:val="22"/>
              </w:rPr>
              <w:t>-</w:t>
            </w:r>
            <w:r>
              <w:rPr>
                <w:rFonts w:ascii="Arial Narrow" w:hAnsi="Arial Narrow" w:cs="Arial"/>
                <w:sz w:val="22"/>
                <w:szCs w:val="22"/>
              </w:rPr>
              <w:t>2</w:t>
            </w:r>
            <w:r w:rsidRPr="00833617">
              <w:rPr>
                <w:rFonts w:ascii="Arial Narrow" w:hAnsi="Arial Narrow" w:cs="Arial"/>
                <w:sz w:val="22"/>
                <w:szCs w:val="22"/>
              </w:rPr>
              <w:t>:201</w:t>
            </w:r>
            <w:r>
              <w:rPr>
                <w:rFonts w:ascii="Arial Narrow" w:hAnsi="Arial Narrow" w:cs="Arial"/>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E6FF19"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D520B8"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D552D5A"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27B9AEF0" w14:textId="77777777" w:rsidR="00833617" w:rsidRDefault="00833617" w:rsidP="003E7192">
            <w:pPr>
              <w:rPr>
                <w:rFonts w:ascii="Calibri" w:hAnsi="Calibri"/>
                <w:color w:val="000000"/>
                <w:sz w:val="22"/>
                <w:szCs w:val="22"/>
              </w:rPr>
            </w:pPr>
          </w:p>
        </w:tc>
      </w:tr>
      <w:tr w:rsidR="00833617" w14:paraId="1923A49E"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4C1B65C5" w14:textId="77777777" w:rsidR="00833617" w:rsidRPr="00CF7A06" w:rsidRDefault="00833617"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1C235D" w14:textId="5586B55E" w:rsidR="00833617" w:rsidRPr="00833617" w:rsidRDefault="00833617" w:rsidP="003E7192">
            <w:pPr>
              <w:rPr>
                <w:rFonts w:ascii="Arial Narrow" w:hAnsi="Arial Narrow" w:cs="Arial"/>
                <w:sz w:val="22"/>
                <w:szCs w:val="22"/>
              </w:rPr>
            </w:pPr>
            <w:r w:rsidRPr="00833617">
              <w:rPr>
                <w:rFonts w:ascii="Arial Narrow" w:hAnsi="Arial Narrow" w:cs="Arial"/>
                <w:sz w:val="22"/>
                <w:szCs w:val="22"/>
              </w:rPr>
              <w:t>IEC 61851-23:2023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8576BC" w14:textId="77777777" w:rsidR="00833617" w:rsidRDefault="00833617"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28DCDE" w14:textId="77777777" w:rsidR="00833617" w:rsidRDefault="00833617"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AE10EF" w14:textId="77777777" w:rsidR="00833617" w:rsidRDefault="00833617"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01CC63F7" w14:textId="77777777" w:rsidR="00833617" w:rsidRDefault="00833617" w:rsidP="003E7192">
            <w:pPr>
              <w:rPr>
                <w:rFonts w:ascii="Calibri" w:hAnsi="Calibri"/>
                <w:color w:val="000000"/>
                <w:sz w:val="22"/>
                <w:szCs w:val="22"/>
              </w:rPr>
            </w:pPr>
          </w:p>
        </w:tc>
      </w:tr>
      <w:tr w:rsidR="00E94A9C" w14:paraId="433171D2" w14:textId="77777777" w:rsidTr="008E6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trPr>
        <w:tc>
          <w:tcPr>
            <w:tcW w:w="704" w:type="dxa"/>
            <w:tcBorders>
              <w:top w:val="single" w:sz="4" w:space="0" w:color="auto"/>
              <w:left w:val="single" w:sz="4" w:space="0" w:color="auto"/>
              <w:bottom w:val="single" w:sz="4" w:space="0" w:color="auto"/>
              <w:right w:val="single" w:sz="4" w:space="0" w:color="auto"/>
            </w:tcBorders>
          </w:tcPr>
          <w:p w14:paraId="26338916" w14:textId="77777777" w:rsidR="00E94A9C" w:rsidRPr="00CF7A06" w:rsidRDefault="00E94A9C" w:rsidP="00DF3C89">
            <w:pPr>
              <w:pStyle w:val="ListParagraph"/>
              <w:numPr>
                <w:ilvl w:val="0"/>
                <w:numId w:val="10"/>
              </w:numPr>
              <w:spacing w:before="120" w:after="120"/>
              <w:jc w:val="both"/>
              <w:rPr>
                <w:rFonts w:ascii="Arial" w:hAnsi="Arial" w:cs="Arial"/>
                <w:u w:val="dotted"/>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1ED182" w14:textId="4A8CC89C" w:rsidR="00E94A9C" w:rsidRPr="00DF7A92" w:rsidRDefault="00833617" w:rsidP="003E7192">
            <w:pPr>
              <w:rPr>
                <w:rFonts w:ascii="Arial Narrow" w:hAnsi="Arial Narrow" w:cs="Arial"/>
                <w:sz w:val="22"/>
                <w:szCs w:val="22"/>
              </w:rPr>
            </w:pPr>
            <w:r w:rsidRPr="00833617">
              <w:rPr>
                <w:rFonts w:ascii="Arial Narrow" w:hAnsi="Arial Narrow" w:cs="Arial"/>
                <w:sz w:val="22"/>
                <w:szCs w:val="22"/>
              </w:rPr>
              <w:t>IEC 61851-2</w:t>
            </w:r>
            <w:r>
              <w:rPr>
                <w:rFonts w:ascii="Arial Narrow" w:hAnsi="Arial Narrow" w:cs="Arial"/>
                <w:sz w:val="22"/>
                <w:szCs w:val="22"/>
              </w:rPr>
              <w:t>4</w:t>
            </w:r>
            <w:r w:rsidRPr="00833617">
              <w:rPr>
                <w:rFonts w:ascii="Arial Narrow" w:hAnsi="Arial Narrow" w:cs="Arial"/>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582AC4" w14:textId="77777777" w:rsidR="00E94A9C" w:rsidRDefault="00E94A9C" w:rsidP="003E7192">
            <w:pPr>
              <w:rPr>
                <w:rFonts w:ascii="Calibri" w:hAnsi="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6D6012" w14:textId="77777777" w:rsidR="00E94A9C" w:rsidRDefault="00E94A9C" w:rsidP="003E7192">
            <w:pPr>
              <w:rPr>
                <w:rFonts w:ascii="Calibri" w:hAnsi="Calibri"/>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0B5539" w14:textId="77777777" w:rsidR="00E94A9C" w:rsidRDefault="00E94A9C" w:rsidP="003E7192">
            <w:pPr>
              <w:rPr>
                <w:rFonts w:ascii="Calibri" w:hAnsi="Calibri"/>
                <w:color w:val="000000"/>
                <w:sz w:val="22"/>
                <w:szCs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14:paraId="68D15EDF" w14:textId="77777777" w:rsidR="00E94A9C" w:rsidRDefault="00E94A9C" w:rsidP="003E7192">
            <w:pPr>
              <w:rPr>
                <w:rFonts w:ascii="Calibri" w:hAnsi="Calibri"/>
                <w:color w:val="000000"/>
                <w:sz w:val="22"/>
                <w:szCs w:val="22"/>
              </w:rPr>
            </w:pPr>
          </w:p>
        </w:tc>
      </w:tr>
    </w:tbl>
    <w:p w14:paraId="392E385F" w14:textId="77777777" w:rsidR="00DF3C89" w:rsidRDefault="00DF3C89" w:rsidP="007D7BDE">
      <w:pPr>
        <w:autoSpaceDE w:val="0"/>
        <w:autoSpaceDN w:val="0"/>
        <w:adjustRightInd w:val="0"/>
        <w:jc w:val="both"/>
        <w:rPr>
          <w:rFonts w:ascii="Arial Narrow" w:hAnsi="Arial Narrow" w:cs="Arial"/>
          <w:b/>
          <w:bCs/>
        </w:rPr>
      </w:pPr>
    </w:p>
    <w:sectPr w:rsidR="00DF3C89" w:rsidSect="006C57DF">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EAF0" w14:textId="77777777" w:rsidR="006C57DF" w:rsidRDefault="006C57DF" w:rsidP="007D7BDE">
      <w:r>
        <w:separator/>
      </w:r>
    </w:p>
  </w:endnote>
  <w:endnote w:type="continuationSeparator" w:id="0">
    <w:p w14:paraId="1770B923" w14:textId="77777777" w:rsidR="006C57DF" w:rsidRDefault="006C57DF"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836B" w14:textId="77777777" w:rsidR="006C57DF" w:rsidRDefault="006C57DF" w:rsidP="007D7BDE">
      <w:r>
        <w:separator/>
      </w:r>
    </w:p>
  </w:footnote>
  <w:footnote w:type="continuationSeparator" w:id="0">
    <w:p w14:paraId="11ECCD91" w14:textId="77777777" w:rsidR="006C57DF" w:rsidRDefault="006C57DF"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3F4"/>
    <w:multiLevelType w:val="hybridMultilevel"/>
    <w:tmpl w:val="D932D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33243D"/>
    <w:multiLevelType w:val="hybridMultilevel"/>
    <w:tmpl w:val="BA328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D550C"/>
    <w:multiLevelType w:val="hybridMultilevel"/>
    <w:tmpl w:val="80AE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D6361E"/>
    <w:multiLevelType w:val="hybridMultilevel"/>
    <w:tmpl w:val="597A1F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C52372"/>
    <w:multiLevelType w:val="hybridMultilevel"/>
    <w:tmpl w:val="0DBE77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C56CC9"/>
    <w:multiLevelType w:val="hybridMultilevel"/>
    <w:tmpl w:val="04207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243135"/>
    <w:multiLevelType w:val="hybridMultilevel"/>
    <w:tmpl w:val="5F0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0" w15:restartNumberingAfterBreak="0">
    <w:nsid w:val="48965F1B"/>
    <w:multiLevelType w:val="hybridMultilevel"/>
    <w:tmpl w:val="3886CB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31155F"/>
    <w:multiLevelType w:val="hybridMultilevel"/>
    <w:tmpl w:val="2C4236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05729EB"/>
    <w:multiLevelType w:val="hybridMultilevel"/>
    <w:tmpl w:val="23329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A83997"/>
    <w:multiLevelType w:val="hybridMultilevel"/>
    <w:tmpl w:val="789436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533053"/>
    <w:multiLevelType w:val="hybridMultilevel"/>
    <w:tmpl w:val="4964D0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784134"/>
    <w:multiLevelType w:val="hybridMultilevel"/>
    <w:tmpl w:val="41BC1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242819"/>
    <w:multiLevelType w:val="hybridMultilevel"/>
    <w:tmpl w:val="3D5A0B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758915406">
    <w:abstractNumId w:val="8"/>
  </w:num>
  <w:num w:numId="2" w16cid:durableId="89593226">
    <w:abstractNumId w:val="3"/>
  </w:num>
  <w:num w:numId="3" w16cid:durableId="1757049882">
    <w:abstractNumId w:val="17"/>
  </w:num>
  <w:num w:numId="4" w16cid:durableId="1449159079">
    <w:abstractNumId w:val="9"/>
  </w:num>
  <w:num w:numId="5" w16cid:durableId="441386009">
    <w:abstractNumId w:val="2"/>
  </w:num>
  <w:num w:numId="6" w16cid:durableId="1030573136">
    <w:abstractNumId w:val="11"/>
  </w:num>
  <w:num w:numId="7" w16cid:durableId="1262835748">
    <w:abstractNumId w:val="4"/>
  </w:num>
  <w:num w:numId="8" w16cid:durableId="2007323881">
    <w:abstractNumId w:val="1"/>
  </w:num>
  <w:num w:numId="9" w16cid:durableId="149492500">
    <w:abstractNumId w:val="13"/>
  </w:num>
  <w:num w:numId="10" w16cid:durableId="851144449">
    <w:abstractNumId w:val="7"/>
  </w:num>
  <w:num w:numId="11" w16cid:durableId="381446842">
    <w:abstractNumId w:val="6"/>
  </w:num>
  <w:num w:numId="12" w16cid:durableId="360279140">
    <w:abstractNumId w:val="14"/>
  </w:num>
  <w:num w:numId="13" w16cid:durableId="642349919">
    <w:abstractNumId w:val="15"/>
  </w:num>
  <w:num w:numId="14" w16cid:durableId="1732383787">
    <w:abstractNumId w:val="10"/>
  </w:num>
  <w:num w:numId="15" w16cid:durableId="1735082274">
    <w:abstractNumId w:val="12"/>
  </w:num>
  <w:num w:numId="16" w16cid:durableId="1387024642">
    <w:abstractNumId w:val="0"/>
  </w:num>
  <w:num w:numId="17" w16cid:durableId="1917396656">
    <w:abstractNumId w:val="5"/>
  </w:num>
  <w:num w:numId="18" w16cid:durableId="9112408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103C02"/>
    <w:rsid w:val="00146B64"/>
    <w:rsid w:val="00154D57"/>
    <w:rsid w:val="00161F8F"/>
    <w:rsid w:val="001A16FD"/>
    <w:rsid w:val="001D112C"/>
    <w:rsid w:val="002236B8"/>
    <w:rsid w:val="0023262C"/>
    <w:rsid w:val="00241E4B"/>
    <w:rsid w:val="00242755"/>
    <w:rsid w:val="00282D9D"/>
    <w:rsid w:val="002E03CE"/>
    <w:rsid w:val="002E12DF"/>
    <w:rsid w:val="002E3F7C"/>
    <w:rsid w:val="00350BFA"/>
    <w:rsid w:val="0037216D"/>
    <w:rsid w:val="003A2DFD"/>
    <w:rsid w:val="003C4A6C"/>
    <w:rsid w:val="003F2C4E"/>
    <w:rsid w:val="00402707"/>
    <w:rsid w:val="00452734"/>
    <w:rsid w:val="004C0184"/>
    <w:rsid w:val="00506AFA"/>
    <w:rsid w:val="00506FF7"/>
    <w:rsid w:val="0052293C"/>
    <w:rsid w:val="00531757"/>
    <w:rsid w:val="005965CF"/>
    <w:rsid w:val="005D3E09"/>
    <w:rsid w:val="005E2F92"/>
    <w:rsid w:val="0064061E"/>
    <w:rsid w:val="00674532"/>
    <w:rsid w:val="00680852"/>
    <w:rsid w:val="006C57DF"/>
    <w:rsid w:val="006D10E0"/>
    <w:rsid w:val="00703562"/>
    <w:rsid w:val="00703CB1"/>
    <w:rsid w:val="007244A4"/>
    <w:rsid w:val="00756E07"/>
    <w:rsid w:val="00766B20"/>
    <w:rsid w:val="007D5546"/>
    <w:rsid w:val="007D7BDE"/>
    <w:rsid w:val="0080512B"/>
    <w:rsid w:val="00810E69"/>
    <w:rsid w:val="00833617"/>
    <w:rsid w:val="008572A5"/>
    <w:rsid w:val="00861747"/>
    <w:rsid w:val="00877DFF"/>
    <w:rsid w:val="00893D7E"/>
    <w:rsid w:val="008B3FDD"/>
    <w:rsid w:val="008E6F61"/>
    <w:rsid w:val="00925D05"/>
    <w:rsid w:val="00A15AB7"/>
    <w:rsid w:val="00A227BA"/>
    <w:rsid w:val="00A34DC0"/>
    <w:rsid w:val="00A4018D"/>
    <w:rsid w:val="00A431EE"/>
    <w:rsid w:val="00A80CFF"/>
    <w:rsid w:val="00A87B44"/>
    <w:rsid w:val="00AB16F3"/>
    <w:rsid w:val="00B01B56"/>
    <w:rsid w:val="00B04B5B"/>
    <w:rsid w:val="00BA0183"/>
    <w:rsid w:val="00BE0CED"/>
    <w:rsid w:val="00BE236B"/>
    <w:rsid w:val="00BF6EDE"/>
    <w:rsid w:val="00C23675"/>
    <w:rsid w:val="00C734AC"/>
    <w:rsid w:val="00D4747C"/>
    <w:rsid w:val="00D57FB3"/>
    <w:rsid w:val="00D711C5"/>
    <w:rsid w:val="00DC7D31"/>
    <w:rsid w:val="00DF3C89"/>
    <w:rsid w:val="00DF7A92"/>
    <w:rsid w:val="00E00478"/>
    <w:rsid w:val="00E1291B"/>
    <w:rsid w:val="00E41A20"/>
    <w:rsid w:val="00E67378"/>
    <w:rsid w:val="00E94A9C"/>
    <w:rsid w:val="00EA6D9E"/>
    <w:rsid w:val="00EB7875"/>
    <w:rsid w:val="00EC233C"/>
    <w:rsid w:val="00EF710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E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514">
      <w:bodyDiv w:val="1"/>
      <w:marLeft w:val="0"/>
      <w:marRight w:val="0"/>
      <w:marTop w:val="0"/>
      <w:marBottom w:val="0"/>
      <w:divBdr>
        <w:top w:val="none" w:sz="0" w:space="0" w:color="auto"/>
        <w:left w:val="none" w:sz="0" w:space="0" w:color="auto"/>
        <w:bottom w:val="none" w:sz="0" w:space="0" w:color="auto"/>
        <w:right w:val="none" w:sz="0" w:space="0" w:color="auto"/>
      </w:divBdr>
    </w:div>
    <w:div w:id="42756880">
      <w:bodyDiv w:val="1"/>
      <w:marLeft w:val="0"/>
      <w:marRight w:val="0"/>
      <w:marTop w:val="0"/>
      <w:marBottom w:val="0"/>
      <w:divBdr>
        <w:top w:val="none" w:sz="0" w:space="0" w:color="auto"/>
        <w:left w:val="none" w:sz="0" w:space="0" w:color="auto"/>
        <w:bottom w:val="none" w:sz="0" w:space="0" w:color="auto"/>
        <w:right w:val="none" w:sz="0" w:space="0" w:color="auto"/>
      </w:divBdr>
    </w:div>
    <w:div w:id="79912610">
      <w:bodyDiv w:val="1"/>
      <w:marLeft w:val="0"/>
      <w:marRight w:val="0"/>
      <w:marTop w:val="0"/>
      <w:marBottom w:val="0"/>
      <w:divBdr>
        <w:top w:val="none" w:sz="0" w:space="0" w:color="auto"/>
        <w:left w:val="none" w:sz="0" w:space="0" w:color="auto"/>
        <w:bottom w:val="none" w:sz="0" w:space="0" w:color="auto"/>
        <w:right w:val="none" w:sz="0" w:space="0" w:color="auto"/>
      </w:divBdr>
    </w:div>
    <w:div w:id="102464620">
      <w:bodyDiv w:val="1"/>
      <w:marLeft w:val="0"/>
      <w:marRight w:val="0"/>
      <w:marTop w:val="0"/>
      <w:marBottom w:val="0"/>
      <w:divBdr>
        <w:top w:val="none" w:sz="0" w:space="0" w:color="auto"/>
        <w:left w:val="none" w:sz="0" w:space="0" w:color="auto"/>
        <w:bottom w:val="none" w:sz="0" w:space="0" w:color="auto"/>
        <w:right w:val="none" w:sz="0" w:space="0" w:color="auto"/>
      </w:divBdr>
    </w:div>
    <w:div w:id="108353250">
      <w:bodyDiv w:val="1"/>
      <w:marLeft w:val="0"/>
      <w:marRight w:val="0"/>
      <w:marTop w:val="0"/>
      <w:marBottom w:val="0"/>
      <w:divBdr>
        <w:top w:val="none" w:sz="0" w:space="0" w:color="auto"/>
        <w:left w:val="none" w:sz="0" w:space="0" w:color="auto"/>
        <w:bottom w:val="none" w:sz="0" w:space="0" w:color="auto"/>
        <w:right w:val="none" w:sz="0" w:space="0" w:color="auto"/>
      </w:divBdr>
    </w:div>
    <w:div w:id="118954775">
      <w:bodyDiv w:val="1"/>
      <w:marLeft w:val="0"/>
      <w:marRight w:val="0"/>
      <w:marTop w:val="0"/>
      <w:marBottom w:val="0"/>
      <w:divBdr>
        <w:top w:val="none" w:sz="0" w:space="0" w:color="auto"/>
        <w:left w:val="none" w:sz="0" w:space="0" w:color="auto"/>
        <w:bottom w:val="none" w:sz="0" w:space="0" w:color="auto"/>
        <w:right w:val="none" w:sz="0" w:space="0" w:color="auto"/>
      </w:divBdr>
    </w:div>
    <w:div w:id="157619961">
      <w:bodyDiv w:val="1"/>
      <w:marLeft w:val="0"/>
      <w:marRight w:val="0"/>
      <w:marTop w:val="0"/>
      <w:marBottom w:val="0"/>
      <w:divBdr>
        <w:top w:val="none" w:sz="0" w:space="0" w:color="auto"/>
        <w:left w:val="none" w:sz="0" w:space="0" w:color="auto"/>
        <w:bottom w:val="none" w:sz="0" w:space="0" w:color="auto"/>
        <w:right w:val="none" w:sz="0" w:space="0" w:color="auto"/>
      </w:divBdr>
    </w:div>
    <w:div w:id="161825218">
      <w:bodyDiv w:val="1"/>
      <w:marLeft w:val="0"/>
      <w:marRight w:val="0"/>
      <w:marTop w:val="0"/>
      <w:marBottom w:val="0"/>
      <w:divBdr>
        <w:top w:val="none" w:sz="0" w:space="0" w:color="auto"/>
        <w:left w:val="none" w:sz="0" w:space="0" w:color="auto"/>
        <w:bottom w:val="none" w:sz="0" w:space="0" w:color="auto"/>
        <w:right w:val="none" w:sz="0" w:space="0" w:color="auto"/>
      </w:divBdr>
    </w:div>
    <w:div w:id="199562300">
      <w:bodyDiv w:val="1"/>
      <w:marLeft w:val="0"/>
      <w:marRight w:val="0"/>
      <w:marTop w:val="0"/>
      <w:marBottom w:val="0"/>
      <w:divBdr>
        <w:top w:val="none" w:sz="0" w:space="0" w:color="auto"/>
        <w:left w:val="none" w:sz="0" w:space="0" w:color="auto"/>
        <w:bottom w:val="none" w:sz="0" w:space="0" w:color="auto"/>
        <w:right w:val="none" w:sz="0" w:space="0" w:color="auto"/>
      </w:divBdr>
    </w:div>
    <w:div w:id="207650601">
      <w:bodyDiv w:val="1"/>
      <w:marLeft w:val="0"/>
      <w:marRight w:val="0"/>
      <w:marTop w:val="0"/>
      <w:marBottom w:val="0"/>
      <w:divBdr>
        <w:top w:val="none" w:sz="0" w:space="0" w:color="auto"/>
        <w:left w:val="none" w:sz="0" w:space="0" w:color="auto"/>
        <w:bottom w:val="none" w:sz="0" w:space="0" w:color="auto"/>
        <w:right w:val="none" w:sz="0" w:space="0" w:color="auto"/>
      </w:divBdr>
    </w:div>
    <w:div w:id="218322611">
      <w:bodyDiv w:val="1"/>
      <w:marLeft w:val="0"/>
      <w:marRight w:val="0"/>
      <w:marTop w:val="0"/>
      <w:marBottom w:val="0"/>
      <w:divBdr>
        <w:top w:val="none" w:sz="0" w:space="0" w:color="auto"/>
        <w:left w:val="none" w:sz="0" w:space="0" w:color="auto"/>
        <w:bottom w:val="none" w:sz="0" w:space="0" w:color="auto"/>
        <w:right w:val="none" w:sz="0" w:space="0" w:color="auto"/>
      </w:divBdr>
    </w:div>
    <w:div w:id="250745428">
      <w:bodyDiv w:val="1"/>
      <w:marLeft w:val="0"/>
      <w:marRight w:val="0"/>
      <w:marTop w:val="0"/>
      <w:marBottom w:val="0"/>
      <w:divBdr>
        <w:top w:val="none" w:sz="0" w:space="0" w:color="auto"/>
        <w:left w:val="none" w:sz="0" w:space="0" w:color="auto"/>
        <w:bottom w:val="none" w:sz="0" w:space="0" w:color="auto"/>
        <w:right w:val="none" w:sz="0" w:space="0" w:color="auto"/>
      </w:divBdr>
    </w:div>
    <w:div w:id="252054162">
      <w:bodyDiv w:val="1"/>
      <w:marLeft w:val="0"/>
      <w:marRight w:val="0"/>
      <w:marTop w:val="0"/>
      <w:marBottom w:val="0"/>
      <w:divBdr>
        <w:top w:val="none" w:sz="0" w:space="0" w:color="auto"/>
        <w:left w:val="none" w:sz="0" w:space="0" w:color="auto"/>
        <w:bottom w:val="none" w:sz="0" w:space="0" w:color="auto"/>
        <w:right w:val="none" w:sz="0" w:space="0" w:color="auto"/>
      </w:divBdr>
    </w:div>
    <w:div w:id="262492956">
      <w:bodyDiv w:val="1"/>
      <w:marLeft w:val="0"/>
      <w:marRight w:val="0"/>
      <w:marTop w:val="0"/>
      <w:marBottom w:val="0"/>
      <w:divBdr>
        <w:top w:val="none" w:sz="0" w:space="0" w:color="auto"/>
        <w:left w:val="none" w:sz="0" w:space="0" w:color="auto"/>
        <w:bottom w:val="none" w:sz="0" w:space="0" w:color="auto"/>
        <w:right w:val="none" w:sz="0" w:space="0" w:color="auto"/>
      </w:divBdr>
    </w:div>
    <w:div w:id="287126800">
      <w:bodyDiv w:val="1"/>
      <w:marLeft w:val="0"/>
      <w:marRight w:val="0"/>
      <w:marTop w:val="0"/>
      <w:marBottom w:val="0"/>
      <w:divBdr>
        <w:top w:val="none" w:sz="0" w:space="0" w:color="auto"/>
        <w:left w:val="none" w:sz="0" w:space="0" w:color="auto"/>
        <w:bottom w:val="none" w:sz="0" w:space="0" w:color="auto"/>
        <w:right w:val="none" w:sz="0" w:space="0" w:color="auto"/>
      </w:divBdr>
    </w:div>
    <w:div w:id="383871695">
      <w:bodyDiv w:val="1"/>
      <w:marLeft w:val="0"/>
      <w:marRight w:val="0"/>
      <w:marTop w:val="0"/>
      <w:marBottom w:val="0"/>
      <w:divBdr>
        <w:top w:val="none" w:sz="0" w:space="0" w:color="auto"/>
        <w:left w:val="none" w:sz="0" w:space="0" w:color="auto"/>
        <w:bottom w:val="none" w:sz="0" w:space="0" w:color="auto"/>
        <w:right w:val="none" w:sz="0" w:space="0" w:color="auto"/>
      </w:divBdr>
    </w:div>
    <w:div w:id="472599779">
      <w:bodyDiv w:val="1"/>
      <w:marLeft w:val="0"/>
      <w:marRight w:val="0"/>
      <w:marTop w:val="0"/>
      <w:marBottom w:val="0"/>
      <w:divBdr>
        <w:top w:val="none" w:sz="0" w:space="0" w:color="auto"/>
        <w:left w:val="none" w:sz="0" w:space="0" w:color="auto"/>
        <w:bottom w:val="none" w:sz="0" w:space="0" w:color="auto"/>
        <w:right w:val="none" w:sz="0" w:space="0" w:color="auto"/>
      </w:divBdr>
    </w:div>
    <w:div w:id="490995946">
      <w:bodyDiv w:val="1"/>
      <w:marLeft w:val="0"/>
      <w:marRight w:val="0"/>
      <w:marTop w:val="0"/>
      <w:marBottom w:val="0"/>
      <w:divBdr>
        <w:top w:val="none" w:sz="0" w:space="0" w:color="auto"/>
        <w:left w:val="none" w:sz="0" w:space="0" w:color="auto"/>
        <w:bottom w:val="none" w:sz="0" w:space="0" w:color="auto"/>
        <w:right w:val="none" w:sz="0" w:space="0" w:color="auto"/>
      </w:divBdr>
    </w:div>
    <w:div w:id="568924773">
      <w:bodyDiv w:val="1"/>
      <w:marLeft w:val="0"/>
      <w:marRight w:val="0"/>
      <w:marTop w:val="0"/>
      <w:marBottom w:val="0"/>
      <w:divBdr>
        <w:top w:val="none" w:sz="0" w:space="0" w:color="auto"/>
        <w:left w:val="none" w:sz="0" w:space="0" w:color="auto"/>
        <w:bottom w:val="none" w:sz="0" w:space="0" w:color="auto"/>
        <w:right w:val="none" w:sz="0" w:space="0" w:color="auto"/>
      </w:divBdr>
    </w:div>
    <w:div w:id="577256211">
      <w:bodyDiv w:val="1"/>
      <w:marLeft w:val="0"/>
      <w:marRight w:val="0"/>
      <w:marTop w:val="0"/>
      <w:marBottom w:val="0"/>
      <w:divBdr>
        <w:top w:val="none" w:sz="0" w:space="0" w:color="auto"/>
        <w:left w:val="none" w:sz="0" w:space="0" w:color="auto"/>
        <w:bottom w:val="none" w:sz="0" w:space="0" w:color="auto"/>
        <w:right w:val="none" w:sz="0" w:space="0" w:color="auto"/>
      </w:divBdr>
    </w:div>
    <w:div w:id="652026837">
      <w:bodyDiv w:val="1"/>
      <w:marLeft w:val="0"/>
      <w:marRight w:val="0"/>
      <w:marTop w:val="0"/>
      <w:marBottom w:val="0"/>
      <w:divBdr>
        <w:top w:val="none" w:sz="0" w:space="0" w:color="auto"/>
        <w:left w:val="none" w:sz="0" w:space="0" w:color="auto"/>
        <w:bottom w:val="none" w:sz="0" w:space="0" w:color="auto"/>
        <w:right w:val="none" w:sz="0" w:space="0" w:color="auto"/>
      </w:divBdr>
    </w:div>
    <w:div w:id="693768018">
      <w:bodyDiv w:val="1"/>
      <w:marLeft w:val="0"/>
      <w:marRight w:val="0"/>
      <w:marTop w:val="0"/>
      <w:marBottom w:val="0"/>
      <w:divBdr>
        <w:top w:val="none" w:sz="0" w:space="0" w:color="auto"/>
        <w:left w:val="none" w:sz="0" w:space="0" w:color="auto"/>
        <w:bottom w:val="none" w:sz="0" w:space="0" w:color="auto"/>
        <w:right w:val="none" w:sz="0" w:space="0" w:color="auto"/>
      </w:divBdr>
    </w:div>
    <w:div w:id="717970482">
      <w:bodyDiv w:val="1"/>
      <w:marLeft w:val="0"/>
      <w:marRight w:val="0"/>
      <w:marTop w:val="0"/>
      <w:marBottom w:val="0"/>
      <w:divBdr>
        <w:top w:val="none" w:sz="0" w:space="0" w:color="auto"/>
        <w:left w:val="none" w:sz="0" w:space="0" w:color="auto"/>
        <w:bottom w:val="none" w:sz="0" w:space="0" w:color="auto"/>
        <w:right w:val="none" w:sz="0" w:space="0" w:color="auto"/>
      </w:divBdr>
    </w:div>
    <w:div w:id="721905615">
      <w:bodyDiv w:val="1"/>
      <w:marLeft w:val="0"/>
      <w:marRight w:val="0"/>
      <w:marTop w:val="0"/>
      <w:marBottom w:val="0"/>
      <w:divBdr>
        <w:top w:val="none" w:sz="0" w:space="0" w:color="auto"/>
        <w:left w:val="none" w:sz="0" w:space="0" w:color="auto"/>
        <w:bottom w:val="none" w:sz="0" w:space="0" w:color="auto"/>
        <w:right w:val="none" w:sz="0" w:space="0" w:color="auto"/>
      </w:divBdr>
    </w:div>
    <w:div w:id="729771739">
      <w:bodyDiv w:val="1"/>
      <w:marLeft w:val="0"/>
      <w:marRight w:val="0"/>
      <w:marTop w:val="0"/>
      <w:marBottom w:val="0"/>
      <w:divBdr>
        <w:top w:val="none" w:sz="0" w:space="0" w:color="auto"/>
        <w:left w:val="none" w:sz="0" w:space="0" w:color="auto"/>
        <w:bottom w:val="none" w:sz="0" w:space="0" w:color="auto"/>
        <w:right w:val="none" w:sz="0" w:space="0" w:color="auto"/>
      </w:divBdr>
    </w:div>
    <w:div w:id="760027812">
      <w:bodyDiv w:val="1"/>
      <w:marLeft w:val="0"/>
      <w:marRight w:val="0"/>
      <w:marTop w:val="0"/>
      <w:marBottom w:val="0"/>
      <w:divBdr>
        <w:top w:val="none" w:sz="0" w:space="0" w:color="auto"/>
        <w:left w:val="none" w:sz="0" w:space="0" w:color="auto"/>
        <w:bottom w:val="none" w:sz="0" w:space="0" w:color="auto"/>
        <w:right w:val="none" w:sz="0" w:space="0" w:color="auto"/>
      </w:divBdr>
    </w:div>
    <w:div w:id="875581278">
      <w:bodyDiv w:val="1"/>
      <w:marLeft w:val="0"/>
      <w:marRight w:val="0"/>
      <w:marTop w:val="0"/>
      <w:marBottom w:val="0"/>
      <w:divBdr>
        <w:top w:val="none" w:sz="0" w:space="0" w:color="auto"/>
        <w:left w:val="none" w:sz="0" w:space="0" w:color="auto"/>
        <w:bottom w:val="none" w:sz="0" w:space="0" w:color="auto"/>
        <w:right w:val="none" w:sz="0" w:space="0" w:color="auto"/>
      </w:divBdr>
    </w:div>
    <w:div w:id="889879303">
      <w:bodyDiv w:val="1"/>
      <w:marLeft w:val="0"/>
      <w:marRight w:val="0"/>
      <w:marTop w:val="0"/>
      <w:marBottom w:val="0"/>
      <w:divBdr>
        <w:top w:val="none" w:sz="0" w:space="0" w:color="auto"/>
        <w:left w:val="none" w:sz="0" w:space="0" w:color="auto"/>
        <w:bottom w:val="none" w:sz="0" w:space="0" w:color="auto"/>
        <w:right w:val="none" w:sz="0" w:space="0" w:color="auto"/>
      </w:divBdr>
    </w:div>
    <w:div w:id="903569128">
      <w:bodyDiv w:val="1"/>
      <w:marLeft w:val="0"/>
      <w:marRight w:val="0"/>
      <w:marTop w:val="0"/>
      <w:marBottom w:val="0"/>
      <w:divBdr>
        <w:top w:val="none" w:sz="0" w:space="0" w:color="auto"/>
        <w:left w:val="none" w:sz="0" w:space="0" w:color="auto"/>
        <w:bottom w:val="none" w:sz="0" w:space="0" w:color="auto"/>
        <w:right w:val="none" w:sz="0" w:space="0" w:color="auto"/>
      </w:divBdr>
    </w:div>
    <w:div w:id="937517164">
      <w:bodyDiv w:val="1"/>
      <w:marLeft w:val="0"/>
      <w:marRight w:val="0"/>
      <w:marTop w:val="0"/>
      <w:marBottom w:val="0"/>
      <w:divBdr>
        <w:top w:val="none" w:sz="0" w:space="0" w:color="auto"/>
        <w:left w:val="none" w:sz="0" w:space="0" w:color="auto"/>
        <w:bottom w:val="none" w:sz="0" w:space="0" w:color="auto"/>
        <w:right w:val="none" w:sz="0" w:space="0" w:color="auto"/>
      </w:divBdr>
    </w:div>
    <w:div w:id="942415479">
      <w:bodyDiv w:val="1"/>
      <w:marLeft w:val="0"/>
      <w:marRight w:val="0"/>
      <w:marTop w:val="0"/>
      <w:marBottom w:val="0"/>
      <w:divBdr>
        <w:top w:val="none" w:sz="0" w:space="0" w:color="auto"/>
        <w:left w:val="none" w:sz="0" w:space="0" w:color="auto"/>
        <w:bottom w:val="none" w:sz="0" w:space="0" w:color="auto"/>
        <w:right w:val="none" w:sz="0" w:space="0" w:color="auto"/>
      </w:divBdr>
    </w:div>
    <w:div w:id="1021054257">
      <w:bodyDiv w:val="1"/>
      <w:marLeft w:val="0"/>
      <w:marRight w:val="0"/>
      <w:marTop w:val="0"/>
      <w:marBottom w:val="0"/>
      <w:divBdr>
        <w:top w:val="none" w:sz="0" w:space="0" w:color="auto"/>
        <w:left w:val="none" w:sz="0" w:space="0" w:color="auto"/>
        <w:bottom w:val="none" w:sz="0" w:space="0" w:color="auto"/>
        <w:right w:val="none" w:sz="0" w:space="0" w:color="auto"/>
      </w:divBdr>
    </w:div>
    <w:div w:id="1035811819">
      <w:bodyDiv w:val="1"/>
      <w:marLeft w:val="0"/>
      <w:marRight w:val="0"/>
      <w:marTop w:val="0"/>
      <w:marBottom w:val="0"/>
      <w:divBdr>
        <w:top w:val="none" w:sz="0" w:space="0" w:color="auto"/>
        <w:left w:val="none" w:sz="0" w:space="0" w:color="auto"/>
        <w:bottom w:val="none" w:sz="0" w:space="0" w:color="auto"/>
        <w:right w:val="none" w:sz="0" w:space="0" w:color="auto"/>
      </w:divBdr>
    </w:div>
    <w:div w:id="1060134300">
      <w:bodyDiv w:val="1"/>
      <w:marLeft w:val="0"/>
      <w:marRight w:val="0"/>
      <w:marTop w:val="0"/>
      <w:marBottom w:val="0"/>
      <w:divBdr>
        <w:top w:val="none" w:sz="0" w:space="0" w:color="auto"/>
        <w:left w:val="none" w:sz="0" w:space="0" w:color="auto"/>
        <w:bottom w:val="none" w:sz="0" w:space="0" w:color="auto"/>
        <w:right w:val="none" w:sz="0" w:space="0" w:color="auto"/>
      </w:divBdr>
    </w:div>
    <w:div w:id="1120953341">
      <w:bodyDiv w:val="1"/>
      <w:marLeft w:val="0"/>
      <w:marRight w:val="0"/>
      <w:marTop w:val="0"/>
      <w:marBottom w:val="0"/>
      <w:divBdr>
        <w:top w:val="none" w:sz="0" w:space="0" w:color="auto"/>
        <w:left w:val="none" w:sz="0" w:space="0" w:color="auto"/>
        <w:bottom w:val="none" w:sz="0" w:space="0" w:color="auto"/>
        <w:right w:val="none" w:sz="0" w:space="0" w:color="auto"/>
      </w:divBdr>
    </w:div>
    <w:div w:id="1132141394">
      <w:bodyDiv w:val="1"/>
      <w:marLeft w:val="0"/>
      <w:marRight w:val="0"/>
      <w:marTop w:val="0"/>
      <w:marBottom w:val="0"/>
      <w:divBdr>
        <w:top w:val="none" w:sz="0" w:space="0" w:color="auto"/>
        <w:left w:val="none" w:sz="0" w:space="0" w:color="auto"/>
        <w:bottom w:val="none" w:sz="0" w:space="0" w:color="auto"/>
        <w:right w:val="none" w:sz="0" w:space="0" w:color="auto"/>
      </w:divBdr>
    </w:div>
    <w:div w:id="1140998791">
      <w:bodyDiv w:val="1"/>
      <w:marLeft w:val="0"/>
      <w:marRight w:val="0"/>
      <w:marTop w:val="0"/>
      <w:marBottom w:val="0"/>
      <w:divBdr>
        <w:top w:val="none" w:sz="0" w:space="0" w:color="auto"/>
        <w:left w:val="none" w:sz="0" w:space="0" w:color="auto"/>
        <w:bottom w:val="none" w:sz="0" w:space="0" w:color="auto"/>
        <w:right w:val="none" w:sz="0" w:space="0" w:color="auto"/>
      </w:divBdr>
    </w:div>
    <w:div w:id="1147015637">
      <w:bodyDiv w:val="1"/>
      <w:marLeft w:val="0"/>
      <w:marRight w:val="0"/>
      <w:marTop w:val="0"/>
      <w:marBottom w:val="0"/>
      <w:divBdr>
        <w:top w:val="none" w:sz="0" w:space="0" w:color="auto"/>
        <w:left w:val="none" w:sz="0" w:space="0" w:color="auto"/>
        <w:bottom w:val="none" w:sz="0" w:space="0" w:color="auto"/>
        <w:right w:val="none" w:sz="0" w:space="0" w:color="auto"/>
      </w:divBdr>
    </w:div>
    <w:div w:id="1150946633">
      <w:bodyDiv w:val="1"/>
      <w:marLeft w:val="0"/>
      <w:marRight w:val="0"/>
      <w:marTop w:val="0"/>
      <w:marBottom w:val="0"/>
      <w:divBdr>
        <w:top w:val="none" w:sz="0" w:space="0" w:color="auto"/>
        <w:left w:val="none" w:sz="0" w:space="0" w:color="auto"/>
        <w:bottom w:val="none" w:sz="0" w:space="0" w:color="auto"/>
        <w:right w:val="none" w:sz="0" w:space="0" w:color="auto"/>
      </w:divBdr>
    </w:div>
    <w:div w:id="1164395054">
      <w:bodyDiv w:val="1"/>
      <w:marLeft w:val="0"/>
      <w:marRight w:val="0"/>
      <w:marTop w:val="0"/>
      <w:marBottom w:val="0"/>
      <w:divBdr>
        <w:top w:val="none" w:sz="0" w:space="0" w:color="auto"/>
        <w:left w:val="none" w:sz="0" w:space="0" w:color="auto"/>
        <w:bottom w:val="none" w:sz="0" w:space="0" w:color="auto"/>
        <w:right w:val="none" w:sz="0" w:space="0" w:color="auto"/>
      </w:divBdr>
    </w:div>
    <w:div w:id="1174149481">
      <w:bodyDiv w:val="1"/>
      <w:marLeft w:val="0"/>
      <w:marRight w:val="0"/>
      <w:marTop w:val="0"/>
      <w:marBottom w:val="0"/>
      <w:divBdr>
        <w:top w:val="none" w:sz="0" w:space="0" w:color="auto"/>
        <w:left w:val="none" w:sz="0" w:space="0" w:color="auto"/>
        <w:bottom w:val="none" w:sz="0" w:space="0" w:color="auto"/>
        <w:right w:val="none" w:sz="0" w:space="0" w:color="auto"/>
      </w:divBdr>
    </w:div>
    <w:div w:id="1225674710">
      <w:bodyDiv w:val="1"/>
      <w:marLeft w:val="0"/>
      <w:marRight w:val="0"/>
      <w:marTop w:val="0"/>
      <w:marBottom w:val="0"/>
      <w:divBdr>
        <w:top w:val="none" w:sz="0" w:space="0" w:color="auto"/>
        <w:left w:val="none" w:sz="0" w:space="0" w:color="auto"/>
        <w:bottom w:val="none" w:sz="0" w:space="0" w:color="auto"/>
        <w:right w:val="none" w:sz="0" w:space="0" w:color="auto"/>
      </w:divBdr>
    </w:div>
    <w:div w:id="1251161762">
      <w:bodyDiv w:val="1"/>
      <w:marLeft w:val="0"/>
      <w:marRight w:val="0"/>
      <w:marTop w:val="0"/>
      <w:marBottom w:val="0"/>
      <w:divBdr>
        <w:top w:val="none" w:sz="0" w:space="0" w:color="auto"/>
        <w:left w:val="none" w:sz="0" w:space="0" w:color="auto"/>
        <w:bottom w:val="none" w:sz="0" w:space="0" w:color="auto"/>
        <w:right w:val="none" w:sz="0" w:space="0" w:color="auto"/>
      </w:divBdr>
    </w:div>
    <w:div w:id="1277375031">
      <w:bodyDiv w:val="1"/>
      <w:marLeft w:val="0"/>
      <w:marRight w:val="0"/>
      <w:marTop w:val="0"/>
      <w:marBottom w:val="0"/>
      <w:divBdr>
        <w:top w:val="none" w:sz="0" w:space="0" w:color="auto"/>
        <w:left w:val="none" w:sz="0" w:space="0" w:color="auto"/>
        <w:bottom w:val="none" w:sz="0" w:space="0" w:color="auto"/>
        <w:right w:val="none" w:sz="0" w:space="0" w:color="auto"/>
      </w:divBdr>
    </w:div>
    <w:div w:id="1327781411">
      <w:bodyDiv w:val="1"/>
      <w:marLeft w:val="0"/>
      <w:marRight w:val="0"/>
      <w:marTop w:val="0"/>
      <w:marBottom w:val="0"/>
      <w:divBdr>
        <w:top w:val="none" w:sz="0" w:space="0" w:color="auto"/>
        <w:left w:val="none" w:sz="0" w:space="0" w:color="auto"/>
        <w:bottom w:val="none" w:sz="0" w:space="0" w:color="auto"/>
        <w:right w:val="none" w:sz="0" w:space="0" w:color="auto"/>
      </w:divBdr>
    </w:div>
    <w:div w:id="1350066244">
      <w:bodyDiv w:val="1"/>
      <w:marLeft w:val="0"/>
      <w:marRight w:val="0"/>
      <w:marTop w:val="0"/>
      <w:marBottom w:val="0"/>
      <w:divBdr>
        <w:top w:val="none" w:sz="0" w:space="0" w:color="auto"/>
        <w:left w:val="none" w:sz="0" w:space="0" w:color="auto"/>
        <w:bottom w:val="none" w:sz="0" w:space="0" w:color="auto"/>
        <w:right w:val="none" w:sz="0" w:space="0" w:color="auto"/>
      </w:divBdr>
    </w:div>
    <w:div w:id="1362168566">
      <w:bodyDiv w:val="1"/>
      <w:marLeft w:val="0"/>
      <w:marRight w:val="0"/>
      <w:marTop w:val="0"/>
      <w:marBottom w:val="0"/>
      <w:divBdr>
        <w:top w:val="none" w:sz="0" w:space="0" w:color="auto"/>
        <w:left w:val="none" w:sz="0" w:space="0" w:color="auto"/>
        <w:bottom w:val="none" w:sz="0" w:space="0" w:color="auto"/>
        <w:right w:val="none" w:sz="0" w:space="0" w:color="auto"/>
      </w:divBdr>
    </w:div>
    <w:div w:id="1550337790">
      <w:bodyDiv w:val="1"/>
      <w:marLeft w:val="0"/>
      <w:marRight w:val="0"/>
      <w:marTop w:val="0"/>
      <w:marBottom w:val="0"/>
      <w:divBdr>
        <w:top w:val="none" w:sz="0" w:space="0" w:color="auto"/>
        <w:left w:val="none" w:sz="0" w:space="0" w:color="auto"/>
        <w:bottom w:val="none" w:sz="0" w:space="0" w:color="auto"/>
        <w:right w:val="none" w:sz="0" w:space="0" w:color="auto"/>
      </w:divBdr>
    </w:div>
    <w:div w:id="1622030086">
      <w:bodyDiv w:val="1"/>
      <w:marLeft w:val="0"/>
      <w:marRight w:val="0"/>
      <w:marTop w:val="0"/>
      <w:marBottom w:val="0"/>
      <w:divBdr>
        <w:top w:val="none" w:sz="0" w:space="0" w:color="auto"/>
        <w:left w:val="none" w:sz="0" w:space="0" w:color="auto"/>
        <w:bottom w:val="none" w:sz="0" w:space="0" w:color="auto"/>
        <w:right w:val="none" w:sz="0" w:space="0" w:color="auto"/>
      </w:divBdr>
    </w:div>
    <w:div w:id="1647317634">
      <w:bodyDiv w:val="1"/>
      <w:marLeft w:val="0"/>
      <w:marRight w:val="0"/>
      <w:marTop w:val="0"/>
      <w:marBottom w:val="0"/>
      <w:divBdr>
        <w:top w:val="none" w:sz="0" w:space="0" w:color="auto"/>
        <w:left w:val="none" w:sz="0" w:space="0" w:color="auto"/>
        <w:bottom w:val="none" w:sz="0" w:space="0" w:color="auto"/>
        <w:right w:val="none" w:sz="0" w:space="0" w:color="auto"/>
      </w:divBdr>
    </w:div>
    <w:div w:id="1690109245">
      <w:bodyDiv w:val="1"/>
      <w:marLeft w:val="0"/>
      <w:marRight w:val="0"/>
      <w:marTop w:val="0"/>
      <w:marBottom w:val="0"/>
      <w:divBdr>
        <w:top w:val="none" w:sz="0" w:space="0" w:color="auto"/>
        <w:left w:val="none" w:sz="0" w:space="0" w:color="auto"/>
        <w:bottom w:val="none" w:sz="0" w:space="0" w:color="auto"/>
        <w:right w:val="none" w:sz="0" w:space="0" w:color="auto"/>
      </w:divBdr>
    </w:div>
    <w:div w:id="1864632657">
      <w:bodyDiv w:val="1"/>
      <w:marLeft w:val="0"/>
      <w:marRight w:val="0"/>
      <w:marTop w:val="0"/>
      <w:marBottom w:val="0"/>
      <w:divBdr>
        <w:top w:val="none" w:sz="0" w:space="0" w:color="auto"/>
        <w:left w:val="none" w:sz="0" w:space="0" w:color="auto"/>
        <w:bottom w:val="none" w:sz="0" w:space="0" w:color="auto"/>
        <w:right w:val="none" w:sz="0" w:space="0" w:color="auto"/>
      </w:divBdr>
    </w:div>
    <w:div w:id="1911383191">
      <w:bodyDiv w:val="1"/>
      <w:marLeft w:val="0"/>
      <w:marRight w:val="0"/>
      <w:marTop w:val="0"/>
      <w:marBottom w:val="0"/>
      <w:divBdr>
        <w:top w:val="none" w:sz="0" w:space="0" w:color="auto"/>
        <w:left w:val="none" w:sz="0" w:space="0" w:color="auto"/>
        <w:bottom w:val="none" w:sz="0" w:space="0" w:color="auto"/>
        <w:right w:val="none" w:sz="0" w:space="0" w:color="auto"/>
      </w:divBdr>
    </w:div>
    <w:div w:id="1913733547">
      <w:bodyDiv w:val="1"/>
      <w:marLeft w:val="0"/>
      <w:marRight w:val="0"/>
      <w:marTop w:val="0"/>
      <w:marBottom w:val="0"/>
      <w:divBdr>
        <w:top w:val="none" w:sz="0" w:space="0" w:color="auto"/>
        <w:left w:val="none" w:sz="0" w:space="0" w:color="auto"/>
        <w:bottom w:val="none" w:sz="0" w:space="0" w:color="auto"/>
        <w:right w:val="none" w:sz="0" w:space="0" w:color="auto"/>
      </w:divBdr>
    </w:div>
    <w:div w:id="1927566641">
      <w:bodyDiv w:val="1"/>
      <w:marLeft w:val="0"/>
      <w:marRight w:val="0"/>
      <w:marTop w:val="0"/>
      <w:marBottom w:val="0"/>
      <w:divBdr>
        <w:top w:val="none" w:sz="0" w:space="0" w:color="auto"/>
        <w:left w:val="none" w:sz="0" w:space="0" w:color="auto"/>
        <w:bottom w:val="none" w:sz="0" w:space="0" w:color="auto"/>
        <w:right w:val="none" w:sz="0" w:space="0" w:color="auto"/>
      </w:divBdr>
    </w:div>
    <w:div w:id="2059544606">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115664696">
      <w:bodyDiv w:val="1"/>
      <w:marLeft w:val="0"/>
      <w:marRight w:val="0"/>
      <w:marTop w:val="0"/>
      <w:marBottom w:val="0"/>
      <w:divBdr>
        <w:top w:val="none" w:sz="0" w:space="0" w:color="auto"/>
        <w:left w:val="none" w:sz="0" w:space="0" w:color="auto"/>
        <w:bottom w:val="none" w:sz="0" w:space="0" w:color="auto"/>
        <w:right w:val="none" w:sz="0" w:space="0" w:color="auto"/>
      </w:divBdr>
    </w:div>
    <w:div w:id="21349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store.iec.ch/publication/59923" TargetMode="External"/><Relationship Id="rId18" Type="http://schemas.openxmlformats.org/officeDocument/2006/relationships/hyperlink" Target="https://webstore.iec.ch/publication/3128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ebstore.iec.ch/publication/64364" TargetMode="External"/><Relationship Id="rId17" Type="http://schemas.openxmlformats.org/officeDocument/2006/relationships/hyperlink" Target="https://webstore.iec.ch/publication/3204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ebstore.iec.ch/publication/33644" TargetMode="External"/><Relationship Id="rId20" Type="http://schemas.openxmlformats.org/officeDocument/2006/relationships/hyperlink" Target="https://webstore.iec.ch/publication/325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store.iec.ch/publication/59922#additionalinf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ebstore.iec.ch/publication/6255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njoroger@kebs.org" TargetMode="External"/><Relationship Id="rId19" Type="http://schemas.openxmlformats.org/officeDocument/2006/relationships/hyperlink" Target="https://webstore.iec.ch/publication/329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store.iec.ch/publication/2676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3.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Robert Njoroge</cp:lastModifiedBy>
  <cp:revision>3</cp:revision>
  <dcterms:created xsi:type="dcterms:W3CDTF">2024-05-06T18:33:00Z</dcterms:created>
  <dcterms:modified xsi:type="dcterms:W3CDTF">2024-05-06T18:49:00Z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