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59"/>
        <w:gridCol w:w="2914"/>
      </w:tblGrid>
      <w:tr w:rsidR="007D7BDE" w:rsidRPr="00556197" w14:paraId="1C2E1737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2C417ADF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7DB7B20B" w14:textId="77777777" w:rsidTr="2C417AD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3AA26355" w:rsidR="007D7BDE" w:rsidRPr="00556197" w:rsidRDefault="007F7C9A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bookmarkStart w:id="16" w:name="_GoBack"/>
            <w:bookmarkEnd w:id="16"/>
            <w:r>
              <w:rPr>
                <w:rFonts w:ascii="Arial" w:hAnsi="Arial" w:cs="Arial"/>
              </w:rPr>
              <w:t xml:space="preserve"> </w:t>
            </w:r>
            <w:r w:rsidR="00DB4F9A">
              <w:rPr>
                <w:rFonts w:ascii="Arial" w:hAnsi="Arial" w:cs="Arial"/>
                <w:b/>
              </w:rPr>
              <w:t>01/02/2024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0DAFD37D" w:rsidR="007D7BDE" w:rsidRPr="00556197" w:rsidRDefault="007F7C9A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4F9A">
              <w:rPr>
                <w:rFonts w:ascii="Arial" w:hAnsi="Arial" w:cs="Arial"/>
                <w:b/>
              </w:rPr>
              <w:t>02/03/2024</w:t>
            </w:r>
          </w:p>
        </w:tc>
      </w:tr>
      <w:tr w:rsidR="007D7BDE" w:rsidRPr="00556197" w14:paraId="0E9E7655" w14:textId="77777777" w:rsidTr="2C417AD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D8A8792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This form shall be filled, signed and returned to Kenya Bureau of Standards for the attention of &lt;&lt;</w:t>
            </w:r>
            <w:r w:rsidR="00DB4F9A">
              <w:rPr>
                <w:rFonts w:ascii="Arial" w:hAnsi="Arial" w:cs="Arial"/>
                <w:bCs/>
              </w:rPr>
              <w:t xml:space="preserve">Agnes Mdzomba , </w:t>
            </w:r>
            <w:hyperlink r:id="rId10" w:history="1">
              <w:r w:rsidR="00DB4F9A" w:rsidRPr="00983C34">
                <w:rPr>
                  <w:rStyle w:val="Hyperlink"/>
                  <w:rFonts w:ascii="Arial" w:hAnsi="Arial" w:cs="Arial"/>
                  <w:bCs/>
                </w:rPr>
                <w:t>mdzombaa@kebs.org</w:t>
              </w:r>
            </w:hyperlink>
            <w:r w:rsidR="00DB4F9A">
              <w:rPr>
                <w:rFonts w:ascii="Arial" w:hAnsi="Arial" w:cs="Arial"/>
                <w:bCs/>
              </w:rPr>
              <w:t xml:space="preserve"> </w:t>
            </w:r>
            <w:r w:rsidRPr="00556197">
              <w:rPr>
                <w:rFonts w:ascii="Arial" w:hAnsi="Arial" w:cs="Arial"/>
                <w:b/>
                <w:bCs/>
              </w:rPr>
              <w:t>&gt;&gt;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40066C2" w14:textId="4237A76C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</w:t>
      </w:r>
      <w:proofErr w:type="gramStart"/>
      <w:r w:rsidRPr="00556197">
        <w:rPr>
          <w:rFonts w:ascii="Arial" w:hAnsi="Arial" w:cs="Arial"/>
        </w:rPr>
        <w:t xml:space="preserve"> :…</w:t>
      </w:r>
      <w:proofErr w:type="gramEnd"/>
      <w:r w:rsidRPr="00556197">
        <w:rPr>
          <w:rFonts w:ascii="Arial" w:hAnsi="Arial" w:cs="Arial"/>
        </w:rPr>
        <w:t>…</w:t>
      </w:r>
      <w:r w:rsidR="007F7C9A">
        <w:rPr>
          <w:rFonts w:ascii="Arial" w:hAnsi="Arial" w:cs="Arial"/>
        </w:rPr>
        <w:t>( See table below)…………</w:t>
      </w:r>
      <w:r w:rsidRPr="00556197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………………………(In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14:paraId="0D0B940D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9B1595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F64E10">
        <w:rPr>
          <w:rFonts w:ascii="Arial" w:hAnsi="Arial" w:cs="Arial"/>
        </w:rPr>
      </w:r>
      <w:r w:rsidR="00F64E1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60061E4C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909CCE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F64E10">
        <w:rPr>
          <w:rFonts w:ascii="Arial" w:hAnsi="Arial" w:cs="Arial"/>
        </w:rPr>
      </w:r>
      <w:r w:rsidR="00F64E1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4EAFD9C" w14:textId="77777777"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14:paraId="2267BC9A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F64E10">
        <w:rPr>
          <w:rFonts w:ascii="Arial" w:hAnsi="Arial" w:cs="Arial"/>
        </w:rPr>
      </w:r>
      <w:r w:rsidR="00F64E1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4B94D5A5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40171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F64E10">
        <w:rPr>
          <w:rFonts w:ascii="Arial" w:hAnsi="Arial" w:cs="Arial"/>
        </w:rPr>
      </w:r>
      <w:r w:rsidR="00F64E1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39B6B1D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1E19ECEE" w:rsidR="007D7BDE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lastRenderedPageBreak/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63A32732" w14:textId="542DF8A8" w:rsidR="007F7C9A" w:rsidRDefault="007F7C9A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2A92A30" w14:textId="77777777" w:rsidR="007F7C9A" w:rsidRPr="00556197" w:rsidRDefault="007F7C9A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B99056E" w14:textId="7F8735D6" w:rsidR="007D7BDE" w:rsidRPr="007F7C9A" w:rsidRDefault="007D7BDE" w:rsidP="007D7BDE">
      <w:pPr>
        <w:rPr>
          <w:rFonts w:ascii="Verdana" w:hAnsi="Verdana"/>
          <w:b/>
          <w:color w:val="000000"/>
          <w:sz w:val="16"/>
          <w:szCs w:val="16"/>
        </w:rPr>
      </w:pPr>
    </w:p>
    <w:p w14:paraId="012946A9" w14:textId="64E8D0CE" w:rsidR="003D15F4" w:rsidRPr="007F7C9A" w:rsidRDefault="007F7C9A" w:rsidP="007D7BDE">
      <w:pPr>
        <w:rPr>
          <w:rFonts w:ascii="Arial" w:hAnsi="Arial" w:cs="Arial"/>
          <w:b/>
          <w:color w:val="000000"/>
          <w:sz w:val="22"/>
          <w:szCs w:val="22"/>
        </w:rPr>
      </w:pPr>
      <w:r w:rsidRPr="007F7C9A">
        <w:rPr>
          <w:rFonts w:ascii="Arial" w:hAnsi="Arial" w:cs="Arial"/>
          <w:b/>
          <w:color w:val="000000"/>
          <w:sz w:val="22"/>
          <w:szCs w:val="22"/>
        </w:rPr>
        <w:t>CEREALS AND PULSES STANDARDS UNDER SYSTEMATIC REVIEW</w:t>
      </w:r>
    </w:p>
    <w:p w14:paraId="529F6A2B" w14:textId="77777777" w:rsidR="007F7C9A" w:rsidRPr="007F7C9A" w:rsidRDefault="007F7C9A" w:rsidP="007D7BDE">
      <w:pPr>
        <w:rPr>
          <w:rFonts w:ascii="Verdana" w:hAnsi="Verdana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803"/>
        <w:gridCol w:w="6504"/>
      </w:tblGrid>
      <w:tr w:rsidR="007F7C9A" w14:paraId="22BAD2D7" w14:textId="77777777" w:rsidTr="007F7C9A">
        <w:tc>
          <w:tcPr>
            <w:tcW w:w="712" w:type="dxa"/>
          </w:tcPr>
          <w:p w14:paraId="3907E81B" w14:textId="6BAEA0AD" w:rsidR="007F7C9A" w:rsidRPr="007F7C9A" w:rsidRDefault="007F7C9A" w:rsidP="007D7BDE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F7C9A">
              <w:rPr>
                <w:rFonts w:ascii="Verdana" w:hAnsi="Verdana"/>
                <w:b/>
                <w:color w:val="000000"/>
                <w:sz w:val="16"/>
                <w:szCs w:val="16"/>
              </w:rPr>
              <w:t>S/NO</w:t>
            </w:r>
          </w:p>
        </w:tc>
        <w:tc>
          <w:tcPr>
            <w:tcW w:w="1803" w:type="dxa"/>
          </w:tcPr>
          <w:p w14:paraId="7F6036DC" w14:textId="153E7F1D" w:rsidR="007F7C9A" w:rsidRPr="007F7C9A" w:rsidRDefault="007F7C9A" w:rsidP="007D7BDE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F7C9A">
              <w:rPr>
                <w:rFonts w:ascii="Verdana" w:hAnsi="Verdana"/>
                <w:b/>
                <w:color w:val="000000"/>
                <w:sz w:val="16"/>
                <w:szCs w:val="16"/>
              </w:rPr>
              <w:t>KS.NO</w:t>
            </w:r>
          </w:p>
        </w:tc>
        <w:tc>
          <w:tcPr>
            <w:tcW w:w="6504" w:type="dxa"/>
          </w:tcPr>
          <w:p w14:paraId="26718BC8" w14:textId="77777777" w:rsidR="007F7C9A" w:rsidRDefault="007F7C9A" w:rsidP="007D7BDE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7F7C9A">
              <w:rPr>
                <w:rFonts w:ascii="Verdana" w:hAnsi="Verdana"/>
                <w:b/>
                <w:color w:val="000000"/>
                <w:sz w:val="16"/>
                <w:szCs w:val="16"/>
              </w:rPr>
              <w:t>TITTLE</w:t>
            </w:r>
          </w:p>
          <w:p w14:paraId="29259B12" w14:textId="2B9FA45F" w:rsidR="007F7C9A" w:rsidRPr="007F7C9A" w:rsidRDefault="007F7C9A" w:rsidP="007D7BDE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7F7C9A" w14:paraId="6A2867B1" w14:textId="77777777" w:rsidTr="006B2D93">
        <w:trPr>
          <w:trHeight w:val="547"/>
        </w:trPr>
        <w:tc>
          <w:tcPr>
            <w:tcW w:w="712" w:type="dxa"/>
          </w:tcPr>
          <w:p w14:paraId="743738A7" w14:textId="77777777" w:rsidR="007F7C9A" w:rsidRPr="00BE50D8" w:rsidRDefault="007F7C9A" w:rsidP="007F7C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05854181" w14:textId="5F9E0FEE" w:rsidR="007F7C9A" w:rsidRPr="00BE50D8" w:rsidRDefault="00BE50D8" w:rsidP="007F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0D8">
              <w:rPr>
                <w:rFonts w:ascii="Arial" w:hAnsi="Arial" w:cs="Arial"/>
                <w:color w:val="000000"/>
                <w:sz w:val="22"/>
                <w:szCs w:val="22"/>
              </w:rPr>
              <w:t>KS ISO 16050:2003</w:t>
            </w:r>
          </w:p>
        </w:tc>
        <w:tc>
          <w:tcPr>
            <w:tcW w:w="6504" w:type="dxa"/>
          </w:tcPr>
          <w:p w14:paraId="76FE5573" w14:textId="22B2285D" w:rsidR="00BE50D8" w:rsidRPr="00BE50D8" w:rsidRDefault="00BE50D8" w:rsidP="00BE50D8">
            <w:pPr>
              <w:rPr>
                <w:rFonts w:ascii="Arial" w:hAnsi="Arial" w:cs="Arial"/>
                <w:sz w:val="22"/>
                <w:szCs w:val="22"/>
              </w:rPr>
            </w:pPr>
            <w:r w:rsidRPr="00BE50D8">
              <w:rPr>
                <w:rFonts w:ascii="Arial" w:hAnsi="Arial" w:cs="Arial"/>
                <w:sz w:val="22"/>
                <w:szCs w:val="22"/>
              </w:rPr>
              <w:t>Kenya Standard — Foodstuffs — Determination of aflatoxin B1, and the total content of aflatoxins B1, B2, G1 and G2 in cereals, nuts and derived products — High-performance liquid chromatographic method</w:t>
            </w:r>
          </w:p>
          <w:p w14:paraId="642E9574" w14:textId="2CAF0662" w:rsidR="007F7C9A" w:rsidRPr="00BE50D8" w:rsidRDefault="007F7C9A" w:rsidP="007F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7C9A" w14:paraId="61698261" w14:textId="77777777" w:rsidTr="007F7C9A">
        <w:tc>
          <w:tcPr>
            <w:tcW w:w="712" w:type="dxa"/>
          </w:tcPr>
          <w:p w14:paraId="2B1EE85D" w14:textId="77777777" w:rsidR="007F7C9A" w:rsidRPr="00BE50D8" w:rsidRDefault="007F7C9A" w:rsidP="007F7C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14:paraId="5BC50350" w14:textId="511F14EE" w:rsidR="007F7C9A" w:rsidRPr="00BE50D8" w:rsidRDefault="00BE50D8" w:rsidP="007F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0D8">
              <w:rPr>
                <w:rFonts w:ascii="Arial" w:hAnsi="Arial" w:cs="Arial"/>
                <w:color w:val="000000"/>
                <w:sz w:val="22"/>
                <w:szCs w:val="22"/>
              </w:rPr>
              <w:t>KS CAC/RCP 77:2017</w:t>
            </w:r>
          </w:p>
        </w:tc>
        <w:tc>
          <w:tcPr>
            <w:tcW w:w="6504" w:type="dxa"/>
          </w:tcPr>
          <w:p w14:paraId="74C57A17" w14:textId="1A60D987" w:rsidR="00BE50D8" w:rsidRPr="00BE50D8" w:rsidRDefault="00BE50D8" w:rsidP="00BE50D8">
            <w:pPr>
              <w:rPr>
                <w:rFonts w:ascii="Arial" w:hAnsi="Arial" w:cs="Arial"/>
                <w:sz w:val="22"/>
                <w:szCs w:val="22"/>
              </w:rPr>
            </w:pPr>
            <w:r w:rsidRPr="00BE50D8">
              <w:rPr>
                <w:rFonts w:ascii="Arial" w:hAnsi="Arial" w:cs="Arial"/>
                <w:sz w:val="22"/>
                <w:szCs w:val="22"/>
              </w:rPr>
              <w:t xml:space="preserve">Kenya Standard — Code of practice for the prevention and reduction of arsenic contamination in rice, First Edition </w:t>
            </w:r>
          </w:p>
          <w:p w14:paraId="301CF180" w14:textId="4DA525E2" w:rsidR="007F7C9A" w:rsidRPr="00BE50D8" w:rsidRDefault="007F7C9A" w:rsidP="007F7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5652FB9" w14:textId="77777777" w:rsidR="003D15F4" w:rsidRDefault="003D15F4" w:rsidP="007D7BDE">
      <w:pPr>
        <w:rPr>
          <w:rFonts w:ascii="Verdana" w:hAnsi="Verdana"/>
          <w:color w:val="000000"/>
          <w:sz w:val="16"/>
          <w:szCs w:val="16"/>
        </w:rPr>
      </w:pPr>
    </w:p>
    <w:sectPr w:rsidR="003D15F4" w:rsidSect="00EF6812">
      <w:footerReference w:type="default" r:id="rId11"/>
      <w:headerReference w:type="first" r:id="rId12"/>
      <w:footerReference w:type="first" r:id="rId13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5976" w14:textId="77777777" w:rsidR="00F64E10" w:rsidRDefault="00F64E10" w:rsidP="007D7BDE">
      <w:r>
        <w:separator/>
      </w:r>
    </w:p>
  </w:endnote>
  <w:endnote w:type="continuationSeparator" w:id="0">
    <w:p w14:paraId="1AD241C3" w14:textId="77777777" w:rsidR="00F64E10" w:rsidRDefault="00F64E10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9DE0" w14:textId="50F37940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DB4F9A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DB4F9A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8B6F" w14:textId="7A1854AC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DB4F9A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DB4F9A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0561" w14:textId="77777777" w:rsidR="00F64E10" w:rsidRDefault="00F64E10" w:rsidP="007D7BDE">
      <w:r>
        <w:separator/>
      </w:r>
    </w:p>
  </w:footnote>
  <w:footnote w:type="continuationSeparator" w:id="0">
    <w:p w14:paraId="1EFD8D83" w14:textId="77777777" w:rsidR="00F64E10" w:rsidRDefault="00F64E10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4049E0"/>
    <w:multiLevelType w:val="hybridMultilevel"/>
    <w:tmpl w:val="C1E8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A2DFD"/>
    <w:rsid w:val="003C4A6C"/>
    <w:rsid w:val="003D15F4"/>
    <w:rsid w:val="003F2C4E"/>
    <w:rsid w:val="00402707"/>
    <w:rsid w:val="00452734"/>
    <w:rsid w:val="00506AFA"/>
    <w:rsid w:val="005965CF"/>
    <w:rsid w:val="005D0F9C"/>
    <w:rsid w:val="005D3435"/>
    <w:rsid w:val="005D3E09"/>
    <w:rsid w:val="005E2F92"/>
    <w:rsid w:val="00680852"/>
    <w:rsid w:val="006B2D93"/>
    <w:rsid w:val="00703562"/>
    <w:rsid w:val="00703CB1"/>
    <w:rsid w:val="00710322"/>
    <w:rsid w:val="007244A4"/>
    <w:rsid w:val="007505E1"/>
    <w:rsid w:val="00756E07"/>
    <w:rsid w:val="00766B20"/>
    <w:rsid w:val="007D5546"/>
    <w:rsid w:val="007D7BDE"/>
    <w:rsid w:val="007F7C9A"/>
    <w:rsid w:val="00810E69"/>
    <w:rsid w:val="008572A5"/>
    <w:rsid w:val="00877DFF"/>
    <w:rsid w:val="00893D7E"/>
    <w:rsid w:val="008B3FDD"/>
    <w:rsid w:val="008C0A2B"/>
    <w:rsid w:val="00A01303"/>
    <w:rsid w:val="00A15AB7"/>
    <w:rsid w:val="00A87B44"/>
    <w:rsid w:val="00AB16F3"/>
    <w:rsid w:val="00B04B5B"/>
    <w:rsid w:val="00B75B53"/>
    <w:rsid w:val="00BA0183"/>
    <w:rsid w:val="00BE50D8"/>
    <w:rsid w:val="00BF6EDE"/>
    <w:rsid w:val="00C23675"/>
    <w:rsid w:val="00C734AC"/>
    <w:rsid w:val="00D711C5"/>
    <w:rsid w:val="00DB4F9A"/>
    <w:rsid w:val="00DC7D31"/>
    <w:rsid w:val="00DE4B09"/>
    <w:rsid w:val="00E00478"/>
    <w:rsid w:val="00E1291B"/>
    <w:rsid w:val="00E25CCB"/>
    <w:rsid w:val="00E41A20"/>
    <w:rsid w:val="00E67378"/>
    <w:rsid w:val="00EB7875"/>
    <w:rsid w:val="00EF6812"/>
    <w:rsid w:val="00EF7104"/>
    <w:rsid w:val="00F57A84"/>
    <w:rsid w:val="00F64E10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dzombaa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3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Agnes Mdzomba</cp:lastModifiedBy>
  <cp:revision>4</cp:revision>
  <dcterms:created xsi:type="dcterms:W3CDTF">2024-02-01T12:18:00Z</dcterms:created>
  <dcterms:modified xsi:type="dcterms:W3CDTF">2024-02-01T12:51:00Z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